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2a649ebd1f92a01aa9931404e016d168dfbbd7"/>
    <w:p>
      <w:pPr>
        <w:pStyle w:val="Heading1"/>
        <w:pBdr>
          <w:bottom w:val="single" w:sz="20" w:space="4" w:color="8B7355"/>
        </w:pBdr>
      </w:pPr>
      <w:r>
        <w:rPr>
          <w:spacing w:val="12"/>
        </w:rPr>
        <w:t xml:space="preserve">Converse County Completions Benchmark, 2023–2026</w:t>
      </w:r>
    </w:p>
    <w:p>
      <w:pPr>
        <w:pStyle w:val="FirstParagraph"/>
      </w:pPr>
      <w:r>
        <w:rPr>
          <w:bCs/>
          <w:rFonts w:ascii="Georgia" w:hAnsi="Georgia"/>
          <w:b/>
          <w:i/>
          <w:color w:val="2E2A26"/>
          <w:sz w:val="21"/>
        </w:rPr>
        <w:t xml:space="preserve">What 374 wells and 314 public frac disclosures reveal about design intensity, performance, and who is leaving oil in the ground</w:t>
      </w:r>
    </w:p>
    <w:p>
      <w:pPr>
        <w:pStyle w:val="BodyText"/>
      </w:pPr>
      <w:r>
        <w:rPr>
          <w:bCs/>
          <w:b/>
          <w:color w:val="2E2A26"/>
        </w:rPr>
        <w:t xml:space="preserve">River &amp; Rocks LLC — Independent Completions Benchmarking</w:t>
      </w:r>
      <w:r>
        <w:t xml:space="preserve"> </w:t>
      </w:r>
      <w:r>
        <w:t xml:space="preserve">Prepared by Luke Trivisonno (15 years, upstream completions)</w:t>
      </w:r>
      <w:r>
        <w:t xml:space="preserve"> </w:t>
      </w:r>
      <w:r>
        <w:t xml:space="preserve">luke@riverandrocks.com · Montana</w:t>
      </w:r>
    </w:p>
    <w:p>
      <w:pPr>
        <w:pStyle w:val="BodyText"/>
      </w:pPr>
      <w:r>
        <w:rPr>
          <w:iCs/>
          <w:i/>
        </w:rPr>
        <w:t xml:space="preserve">Sample report — built entirely from public data to demonstrate the product. A client engagement uses this same methodology on your acreage, your offsets, and your design questions, with confidential operator data layered in.</w:t>
      </w:r>
    </w:p>
    <w:p>
      <w:r>
        <w:pict>
          <v:rect style="width:0;height:1.5pt" o:hralign="center" o:hrstd="t" o:hr="t"/>
        </w:pict>
      </w:r>
    </w:p>
    <w:bookmarkStart w:id="20" w:name="methodology-and-data-transparency"/>
    <w:p>
      <w:pPr>
        <w:pStyle w:val="Heading2"/>
      </w:pPr>
      <w:r>
        <w:rPr>
          <w:spacing w:val="24"/>
        </w:rPr>
        <w:t>METHODOLOGY AND DATA TRANSPARENCY</w:t>
      </w:r>
    </w:p>
    <w:p>
      <w:pPr>
        <w:pStyle w:val="FirstParagraph"/>
      </w:pPr>
      <w:r>
        <w:t xml:space="preserve">This benchmark joins two public data layers by API-10 well number:</w:t>
      </w:r>
    </w:p>
    <w:p>
      <w:pPr>
        <w:numPr>
          <w:ilvl w:val="0"/>
          <w:numId w:val="1001"/>
        </w:numPr>
        <w:pStyle w:val="Compact"/>
      </w:pPr>
      <w:r>
        <w:rPr>
          <w:bCs/>
          <w:b/>
          <w:color w:val="2E2A26"/>
        </w:rPr>
        <w:t xml:space="preserve">Production layer:</w:t>
      </w:r>
      <w:r>
        <w:t xml:space="preserve"> </w:t>
      </w:r>
      <w:r>
        <w:t xml:space="preserve">374 horizontal wells in Converse County, Wyoming with first production between January 2023 and June 2026, plus 6,374 pad-level monthly production records, assembled from Buckhead Energy, ShaleXP, and DrillingEdge.</w:t>
      </w:r>
      <w:r>
        <w:rPr>
          <w:vertAlign w:val="superscript"/>
        </w:rPr>
        <w:footnoteReference w:id="1"/>
      </w:r>
      <w:r>
        <w:t xml:space="preserve"> </w:t>
      </w:r>
      <w:r>
        <w:rPr>
          <w:vertAlign w:val="superscript"/>
        </w:rPr>
        <w:footnoteReference w:id="2"/>
      </w:r>
      <w:r>
        <w:t xml:space="preserve"> </w:t>
      </w:r>
      <w:r>
        <w:rPr>
          <w:vertAlign w:val="superscript"/>
        </w:rPr>
        <w:footnoteReference w:id="3"/>
      </w:r>
    </w:p>
    <w:p>
      <w:pPr>
        <w:numPr>
          <w:ilvl w:val="0"/>
          <w:numId w:val="1001"/>
        </w:numPr>
        <w:pStyle w:val="Compact"/>
      </w:pPr>
      <w:r>
        <w:rPr>
          <w:bCs/>
          <w:b/>
          <w:color w:val="2E2A26"/>
        </w:rPr>
        <w:t xml:space="preserve">Completions design layer:</w:t>
      </w:r>
      <w:r>
        <w:t xml:space="preserve"> </w:t>
      </w:r>
      <w:r>
        <w:t xml:space="preserve">314 unique FracFocus disclosures for frac jobs started 2023–2026 in Converse County (after de-duplicating one refiled disclosure), drawn from the FracFocus bulk extract and cross-verified against the live disclosure portal.</w:t>
      </w:r>
      <w:r>
        <w:rPr>
          <w:vertAlign w:val="superscript"/>
        </w:rPr>
        <w:footnoteReference w:id="4"/>
      </w:r>
      <w:r>
        <w:t xml:space="preserve"> </w:t>
      </w:r>
      <w:r>
        <w:rPr>
          <w:vertAlign w:val="superscript"/>
        </w:rPr>
        <w:footnoteReference w:id="5"/>
      </w:r>
    </w:p>
    <w:p>
      <w:pPr>
        <w:pStyle w:val="FirstParagraph"/>
      </w:pPr>
      <w:r>
        <w:rPr>
          <w:bCs/>
          <w:b/>
          <w:color w:val="2E2A26"/>
        </w:rPr>
        <w:t xml:space="preserve">What you should know before trusting any number in this report:</w:t>
      </w:r>
    </w:p>
    <w:p>
      <w:pPr>
        <w:numPr>
          <w:ilvl w:val="0"/>
          <w:numId w:val="1002"/>
        </w:numPr>
        <w:pStyle w:val="Compact"/>
      </w:pPr>
      <w:r>
        <w:rPr>
          <w:bCs/>
          <w:b/>
          <w:color w:val="2E2A26"/>
        </w:rPr>
        <w:t xml:space="preserve">Match rate, stated plainly.</w:t>
      </w:r>
      <w:r>
        <w:t xml:space="preserve"> </w:t>
      </w:r>
      <w:r>
        <w:t xml:space="preserve">285 of 314 disclosures (91%) match the 374-well production population; 285 of 374 wells (76%) carry a disclosure. Most unmatched disclosures are 2026-vintage wells too new to appear in production databases.</w:t>
      </w:r>
    </w:p>
    <w:p>
      <w:pPr>
        <w:numPr>
          <w:ilvl w:val="0"/>
          <w:numId w:val="1002"/>
        </w:numPr>
        <w:pStyle w:val="Compact"/>
      </w:pPr>
      <w:r>
        <w:rPr>
          <w:bCs/>
          <w:b/>
          <w:color w:val="2E2A26"/>
        </w:rPr>
        <w:t xml:space="preserve">Statistics exclude missing-data jobs.</w:t>
      </w:r>
      <w:r>
        <w:t xml:space="preserve"> </w:t>
      </w:r>
      <w:r>
        <w:t xml:space="preserve">Nine disclosures report zero base water volume — treated as not reported and excluded from all fluid statistics (305 valid jobs). Reported job counts still include them where noted.</w:t>
      </w:r>
    </w:p>
    <w:p>
      <w:pPr>
        <w:numPr>
          <w:ilvl w:val="0"/>
          <w:numId w:val="1002"/>
        </w:numPr>
        <w:pStyle w:val="Compact"/>
      </w:pPr>
      <w:r>
        <w:rPr>
          <w:bCs/>
          <w:b/>
          <w:color w:val="2E2A26"/>
        </w:rPr>
        <w:t xml:space="preserve">Operator counts are backfilled.</w:t>
      </w:r>
      <w:r>
        <w:t xml:space="preserve"> </w:t>
      </w:r>
      <w:r>
        <w:t xml:space="preserve">Aggregator data left 69 wells (18%) with no operator label; 66 were identified by matching their FracFocus disclosure operator, 3 remain unidentified.</w:t>
      </w:r>
    </w:p>
    <w:p>
      <w:pPr>
        <w:numPr>
          <w:ilvl w:val="0"/>
          <w:numId w:val="1002"/>
        </w:numPr>
        <w:pStyle w:val="Compact"/>
      </w:pPr>
      <w:r>
        <w:rPr>
          <w:bCs/>
          <w:b/>
          <w:color w:val="2E2A26"/>
        </w:rPr>
        <w:t xml:space="preserve">Per-well production is partly pad-level.</w:t>
      </w:r>
      <w:r>
        <w:t xml:space="preserve"> </w:t>
      </w:r>
      <w:r>
        <w:t xml:space="preserve">Wyoming collects monthly production well-by-well,</w:t>
      </w:r>
      <w:r>
        <w:rPr>
          <w:vertAlign w:val="superscript"/>
        </w:rPr>
        <w:footnoteReference w:id="6"/>
      </w:r>
      <w:r>
        <w:t xml:space="preserve"> </w:t>
      </w:r>
      <w:r>
        <w:t xml:space="preserve">but the commercial aggregators used here group some multi-well pads jointly. Where grouped, per-well figures are pad averages and are flagged in the workbook. No well was credited with estimated splits. A client engagement pulls WOGCC well-level data directly.</w:t>
      </w:r>
    </w:p>
    <w:p>
      <w:pPr>
        <w:numPr>
          <w:ilvl w:val="0"/>
          <w:numId w:val="1002"/>
        </w:numPr>
        <w:pStyle w:val="Compact"/>
      </w:pPr>
      <w:r>
        <w:rPr>
          <w:bCs/>
          <w:b/>
          <w:color w:val="2E2A26"/>
        </w:rPr>
        <w:t xml:space="preserve">FracFocus contains no stage counts, cluster counts, or lateral lengths.</w:t>
      </w:r>
      <w:r>
        <w:t xml:space="preserve"> </w:t>
      </w:r>
      <w:r>
        <w:t xml:space="preserve">Foot-per-stage and pounds-per-foot require a second data layer (permits, directional surveys, or service-company data) — available in a client engagement, flagged here as out of scope. Fluid volume and proppant mass are post-job, operator-reported actuals, not audited.</w:t>
      </w:r>
      <w:fldSimple w:instr="NOTEREF _Ref_Footnote_4 \h \f">
        <w:r>
          <w:rPr>
            <w:vertAlign w:val="superscript"/>
          </w:rPr>
          <w:t>4</w:t>
        </w:r>
      </w:fldSimple>
    </w:p>
    <w:p>
      <w:pPr>
        <w:numPr>
          <w:ilvl w:val="0"/>
          <w:numId w:val="1002"/>
        </w:numPr>
        <w:pStyle w:val="Compact"/>
      </w:pPr>
      <w:r>
        <w:rPr>
          <w:bCs/>
          <w:b/>
          <w:color w:val="2E2A26"/>
        </w:rPr>
        <w:t xml:space="preserve">The county’s best-performing small operator is invisible in the design data.</w:t>
      </w:r>
      <w:r>
        <w:t xml:space="preserve"> </w:t>
      </w:r>
      <w:r>
        <w:t xml:space="preserve">WRC Energy and Sage Butte have zero FracFocus records (Section 5). Absence of evidence is not evidence of absence — but it is a fact about what your competitors can and cannot see.</w:t>
      </w:r>
    </w:p>
    <w:p>
      <w:pPr>
        <w:numPr>
          <w:ilvl w:val="0"/>
          <w:numId w:val="1002"/>
        </w:numPr>
        <w:pStyle w:val="Compact"/>
      </w:pPr>
      <w:r>
        <w:rPr>
          <w:bCs/>
          <w:b/>
          <w:color w:val="2E2A26"/>
        </w:rPr>
        <w:t xml:space="preserve">Data-source caution we apply and you should too:</w:t>
      </w:r>
      <w:r>
        <w:t xml:space="preserve"> </w:t>
      </w:r>
      <w:r>
        <w:t xml:space="preserve">the FracFocus bulk CSV silently blanks proppant quantity fields that the live portal populates (Section 3). Any benchmark built only on the bulk extract will misread proppant reporting. Ours is cross-checked against per-well portal records.</w:t>
      </w:r>
    </w:p>
    <w:p>
      <w:pPr>
        <w:numPr>
          <w:ilvl w:val="0"/>
          <w:numId w:val="1002"/>
        </w:numPr>
        <w:pStyle w:val="Compact"/>
      </w:pPr>
      <w:r>
        <w:rPr>
          <w:bCs/>
          <w:b/>
          <w:color w:val="2E2A26"/>
        </w:rPr>
        <w:t xml:space="preserve">2026 is a partial year</w:t>
      </w:r>
      <w:r>
        <w:t xml:space="preserve"> </w:t>
      </w:r>
      <w:r>
        <w:t xml:space="preserve">(25 disclosures, 44 first-production wells through June).</w:t>
      </w:r>
    </w:p>
    <w:p>
      <w:r>
        <w:pict>
          <v:rect style="width:0;height:1.5pt" o:hralign="center" o:hrstd="t" o:hr="t"/>
        </w:pict>
      </w:r>
    </w:p>
    <w:bookmarkEnd w:id="20"/>
    <w:bookmarkStart w:id="21" w:name="executive-summary"/>
    <w:p>
      <w:pPr>
        <w:pStyle w:val="Heading2"/>
      </w:pPr>
      <w:r>
        <w:rPr>
          <w:spacing w:val="24"/>
        </w:rPr>
        <w:t>EXECUTIVE SUMMARY</w:t>
      </w:r>
    </w:p>
    <w:p>
      <w:pPr>
        <w:numPr>
          <w:ilvl w:val="0"/>
          <w:numId w:val="1003"/>
        </w:numPr>
        <w:pStyle w:val="Compact"/>
      </w:pPr>
      <w:r>
        <w:rPr>
          <w:bCs/>
          <w:b/>
          <w:color w:val="2E2A26"/>
        </w:rPr>
        <w:t xml:space="preserve">Converse County is escalating.</w:t>
      </w:r>
      <w:r>
        <w:t xml:space="preserve"> </w:t>
      </w:r>
      <w:r>
        <w:t xml:space="preserve">The median frac job grew from 18.5M gallons in 2023 to 24.8M gallons in 2025 —</w:t>
      </w:r>
      <w:r>
        <w:t xml:space="preserve"> </w:t>
      </w:r>
      <w:r>
        <w:rPr>
          <w:bCs/>
          <w:b/>
          <w:color w:val="2E2A26"/>
        </w:rPr>
        <w:t xml:space="preserve">+34% in two years</w:t>
      </w:r>
      <w:r>
        <w:t xml:space="preserve">. A 2023-template design now sits below the county median.</w:t>
      </w:r>
    </w:p>
    <w:p>
      <w:pPr>
        <w:numPr>
          <w:ilvl w:val="0"/>
          <w:numId w:val="1003"/>
        </w:numPr>
        <w:pStyle w:val="Compact"/>
      </w:pPr>
      <w:r>
        <w:rPr>
          <w:bCs/>
          <w:b/>
          <w:color w:val="2E2A26"/>
        </w:rPr>
        <w:t xml:space="preserve">Devon and Continental run the biggest designs</w:t>
      </w:r>
      <w:r>
        <w:t xml:space="preserve"> </w:t>
      </w:r>
      <w:r>
        <w:t xml:space="preserve">(25.4M and 23.7M gal median). On comparable deep geology (TVD ≥ 10,000 ft), Continental leads at 25.6M median — and its 2025 deep jobs exceed 30M.</w:t>
      </w:r>
    </w:p>
    <w:p>
      <w:pPr>
        <w:numPr>
          <w:ilvl w:val="0"/>
          <w:numId w:val="1003"/>
        </w:numPr>
        <w:pStyle w:val="Compact"/>
      </w:pPr>
      <w:r>
        <w:rPr>
          <w:bCs/>
          <w:b/>
          <w:color w:val="2E2A26"/>
        </w:rPr>
        <w:t xml:space="preserve">The most active driller is not the biggest designer.</w:t>
      </w:r>
      <w:r>
        <w:t xml:space="preserve"> </w:t>
      </w:r>
      <w:r>
        <w:t xml:space="preserve">Anschutz drilled the most wells in-window (95) but runs the smallest deep-basin designs among the big four — 17.5M gal on deep jobs, roughly 30% below Continental — with volatile year-to-year shifts.</w:t>
      </w:r>
    </w:p>
    <w:p>
      <w:pPr>
        <w:numPr>
          <w:ilvl w:val="0"/>
          <w:numId w:val="1003"/>
        </w:numPr>
        <w:pStyle w:val="Compact"/>
      </w:pPr>
      <w:r>
        <w:rPr>
          <w:bCs/>
          <w:b/>
          <w:color w:val="2E2A26"/>
        </w:rPr>
        <w:t xml:space="preserve">Job size tracks performance.</w:t>
      </w:r>
      <w:r>
        <w:t xml:space="preserve"> </w:t>
      </w:r>
      <w:r>
        <w:t xml:space="preserve">Across wells with both a disclosure and well-level production, job size correlates with peak-month oil at Spearman ρ = 0.63 (n=23): above-median jobs deliver</w:t>
      </w:r>
      <w:r>
        <w:t xml:space="preserve"> </w:t>
      </w:r>
      <w:r>
        <w:rPr>
          <w:bCs/>
          <w:b/>
          <w:color w:val="2E2A26"/>
        </w:rPr>
        <w:t xml:space="preserve">+24% median peak-month oil</w:t>
      </w:r>
      <w:r>
        <w:t xml:space="preserve">. On complete six-month windows (n=19), the correlation strengthens to ρ = 0.72 and above-median jobs show</w:t>
      </w:r>
      <w:r>
        <w:t xml:space="preserve"> </w:t>
      </w:r>
      <w:r>
        <w:rPr>
          <w:bCs/>
          <w:b/>
          <w:color w:val="2E2A26"/>
        </w:rPr>
        <w:t xml:space="preserve">+79% median six-month cumulative</w:t>
      </w:r>
      <w:r>
        <w:t xml:space="preserve">. Directional, small-sample — but consistent with what the escalating majors believe.</w:t>
      </w:r>
    </w:p>
    <w:p>
      <w:pPr>
        <w:numPr>
          <w:ilvl w:val="0"/>
          <w:numId w:val="1003"/>
        </w:numPr>
        <w:pStyle w:val="Compact"/>
      </w:pPr>
      <w:r>
        <w:rPr>
          <w:bCs/>
          <w:b/>
          <w:color w:val="2E2A26"/>
        </w:rPr>
        <w:t xml:space="preserve">Proppant is escalating even faster than fluid.</w:t>
      </w:r>
      <w:r>
        <w:t xml:space="preserve"> </w:t>
      </w:r>
      <w:r>
        <w:t xml:space="preserve">Countywide median proppant per job grew from 20.2M lbs (2023) to 38.1M lbs (2025) —</w:t>
      </w:r>
      <w:r>
        <w:t xml:space="preserve"> </w:t>
      </w:r>
      <w:r>
        <w:rPr>
          <w:bCs/>
          <w:b/>
          <w:color w:val="2E2A26"/>
        </w:rPr>
        <w:t xml:space="preserve">+89% in two years</w:t>
      </w:r>
      <w:r>
        <w:t xml:space="preserve">, against +34% for water — and it holds at +86% within the Niobrara bench alone, so it is design behavior, not bench mix (§3.5). Continental’s 2025 median job carries 57.5M lbs. Loading concentration stepped up from 1.16 lb/gal (2023) to ~1.65 (2024 onward).</w:t>
      </w:r>
      <w:fldSimple w:instr="NOTEREF _Ref_Footnote_5 \h \f">
        <w:r>
          <w:rPr>
            <w:vertAlign w:val="superscript"/>
          </w:rPr>
          <w:t>5</w:t>
        </w:r>
      </w:fldSimple>
    </w:p>
    <w:p>
      <w:pPr>
        <w:numPr>
          <w:ilvl w:val="0"/>
          <w:numId w:val="1003"/>
        </w:numPr>
        <w:pStyle w:val="Compact"/>
      </w:pPr>
      <w:r>
        <w:rPr>
          <w:bCs/>
          <w:b/>
          <w:color w:val="2E2A26"/>
        </w:rPr>
        <w:t xml:space="preserve">WRC Energy posts the best well productivity in the county</w:t>
      </w:r>
      <w:r>
        <w:t xml:space="preserve"> </w:t>
      </w:r>
      <w:r>
        <w:t xml:space="preserve">(34,873 bbl median peak-month oil per well on 2024+ pads)</w:t>
      </w:r>
      <w:r>
        <w:t xml:space="preserve"> </w:t>
      </w:r>
      <w:r>
        <w:rPr>
          <w:bCs/>
          <w:b/>
          <w:color w:val="2E2A26"/>
        </w:rPr>
        <w:t xml:space="preserve">and has no FracFocus presence at all.</w:t>
      </w:r>
      <w:r>
        <w:t xml:space="preserve"> </w:t>
      </w:r>
      <w:r>
        <w:t xml:space="preserve">Its design is not in the repository your competitors search.</w:t>
      </w:r>
      <w:fldSimple w:instr="NOTEREF _Ref_Footnote_5 \h \f">
        <w:r>
          <w:rPr>
            <w:vertAlign w:val="superscript"/>
          </w:rPr>
          <w:t>5</w:t>
        </w:r>
      </w:fldSimple>
    </w:p>
    <w:p>
      <w:pPr>
        <w:numPr>
          <w:ilvl w:val="0"/>
          <w:numId w:val="1003"/>
        </w:numPr>
        <w:pStyle w:val="Compact"/>
      </w:pPr>
      <w:r>
        <w:rPr>
          <w:bCs/>
          <w:b/>
          <w:color w:val="2E2A26"/>
        </w:rPr>
        <w:t xml:space="preserve">Produced-water reuse is real but not dominant</w:t>
      </w:r>
      <w:r>
        <w:t xml:space="preserve">: roughly 25% of reported sourced water volume, among the 120 of 314 jobs that report sources.</w:t>
      </w:r>
    </w:p>
    <w:p>
      <w:r>
        <w:pict>
          <v:rect style="width:0;height:1.5pt" o:hralign="center" o:hrstd="t" o:hr="t"/>
        </w:pict>
      </w:r>
    </w:p>
    <w:bookmarkEnd w:id="21"/>
    <w:bookmarkStart w:id="22" w:name="X49209636afec62a8db35851c923c217ab6083a4"/>
    <w:p>
      <w:pPr>
        <w:pStyle w:val="Heading2"/>
      </w:pPr>
      <w:r>
        <w:rPr>
          <w:spacing w:val="24"/>
        </w:rPr>
        <w:t>1 · ACTIVITY BENCHMARK — WHO IS DRILLING CONVERSE COUNTY</w:t>
      </w:r>
    </w:p>
    <w:p>
      <w:pPr>
        <w:pStyle w:val="FirstParagraph"/>
      </w:pPr>
      <w:r>
        <w:t xml:space="preserve">374 wells reached first production between January 2023 and June 2026: 106 in 2023, 140 in 2024, 84 in 2025, and 44 in the first half of 2026.</w:t>
      </w:r>
      <w:fldSimple w:instr="NOTEREF _Ref_Footnote_1 \h \f">
        <w:r>
          <w:rPr>
            <w:vertAlign w:val="superscript"/>
          </w:rPr>
          <w:t>1</w:t>
        </w:r>
      </w:fldSimple>
      <w:r>
        <w:t xml:space="preserve"> </w:t>
      </w:r>
      <w:fldSimple w:instr="NOTEREF _Ref_Footnote_2 \h \f">
        <w:r>
          <w:rPr>
            <w:vertAlign w:val="superscript"/>
          </w:rPr>
          <w:t>2</w:t>
        </w:r>
      </w:fldSimple>
    </w:p>
    <w:tbl>
      <w:tblPr>
        <w:tblStyle w:val="Table"/>
        <w:tblW w:type="pct" w:w="500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2376"/>
        <w:gridCol w:w="3168"/>
        <w:gridCol w:w="2376"/>
      </w:tblGrid>
      <w:tr>
        <w:trPr>
          <w:tblHeader w:val="true"/>
        </w:trPr>
        <w:tc>
          <w:tcPr>
            <w:tcBorders>
              <w:bottom w:val="single" w:sz="12" w:space="0" w:color="8B7355"/>
            </w:tcBorders>
          </w:tcPr>
          <w:p>
            <w:pPr>
              <w:pStyle w:val="Compact"/>
              <w:jc w:val="left"/>
            </w:pPr>
            <w:r>
              <w:rPr>
                <w:rFonts w:ascii="Georgia" w:hAnsi="Georgia"/>
                <w:b/>
                <w:color w:val="5C6E7F"/>
                <w:sz w:val="17"/>
                <w:spacing w:val="12"/>
              </w:rPr>
              <w:t>OPERATOR</w:t>
            </w:r>
          </w:p>
        </w:tc>
        <w:tc>
          <w:tcPr>
            <w:tcBorders>
              <w:bottom w:val="single" w:sz="12" w:space="0" w:color="8B7355"/>
            </w:tcBorders>
          </w:tcPr>
          <w:p>
            <w:pPr>
              <w:pStyle w:val="Compact"/>
              <w:jc w:val="right"/>
            </w:pPr>
            <w:r>
              <w:rPr>
                <w:rFonts w:ascii="Georgia" w:hAnsi="Georgia"/>
                <w:b/>
                <w:color w:val="5C6E7F"/>
                <w:sz w:val="17"/>
                <w:spacing w:val="12"/>
              </w:rPr>
              <w:t>WELLS IN WINDOW</w:t>
            </w:r>
          </w:p>
        </w:tc>
        <w:tc>
          <w:tcPr>
            <w:tcBorders>
              <w:bottom w:val="single" w:sz="12" w:space="0" w:color="8B7355"/>
            </w:tcBorders>
          </w:tcPr>
          <w:p>
            <w:pPr>
              <w:pStyle w:val="Compact"/>
              <w:jc w:val="left"/>
            </w:pPr>
            <w:r>
              <w:rPr>
                <w:rFonts w:ascii="Georgia" w:hAnsi="Georgia"/>
                <w:b/>
                <w:color w:val="5C6E7F"/>
                <w:sz w:val="17"/>
                <w:spacing w:val="12"/>
              </w:rPr>
              <w:t>NOTE</w:t>
            </w:r>
          </w:p>
        </w:tc>
      </w:tr>
      <w:tr>
        <w:tc>
          <w:tcPr>
            <w:tcBorders>
              <w:bottom w:val="single" w:sz="4" w:space="0" w:color="C4B7A6"/>
            </w:tcBorders>
          </w:tcPr>
          <w:p>
            <w:pPr>
              <w:pStyle w:val="Compact"/>
              <w:jc w:val="left"/>
            </w:pPr>
            <w:r>
              <w:rPr>
                <w:rFonts w:ascii="Georgia" w:hAnsi="Georgia"/>
                <w:color w:val="333333"/>
                <w:sz w:val="19"/>
              </w:rPr>
              <w:t xml:space="preserve">Anschutz Exploration</w:t>
            </w:r>
          </w:p>
        </w:tc>
        <w:tc>
          <w:tcPr>
            <w:tcBorders>
              <w:bottom w:val="single" w:sz="4" w:space="0" w:color="C4B7A6"/>
            </w:tcBorders>
          </w:tcPr>
          <w:p>
            <w:pPr>
              <w:pStyle w:val="Compact"/>
              <w:jc w:val="right"/>
            </w:pPr>
            <w:r>
              <w:rPr>
                <w:rFonts w:ascii="Georgia" w:hAnsi="Georgia"/>
                <w:color w:val="333333"/>
                <w:sz w:val="19"/>
              </w:rPr>
              <w:t xml:space="preserve">95</w:t>
            </w:r>
          </w:p>
        </w:tc>
        <w:tc>
          <w:tcPr>
            <w:tcBorders>
              <w:bottom w:val="single" w:sz="4" w:space="0" w:color="C4B7A6"/>
            </w:tcBorders>
          </w:tcPr>
          <w:p>
            <w:pPr>
              <w:pStyle w:val="Compact"/>
              <w:jc w:val="left"/>
            </w:pPr>
            <w:r>
              <w:rPr>
                <w:rFonts w:ascii="Georgia" w:hAnsi="Georgia"/>
                <w:color w:val="333333"/>
                <w:sz w:val="19"/>
              </w:rPr>
              <w:t xml:space="preserve">Most active driller by well count</w:t>
            </w:r>
          </w:p>
        </w:tc>
      </w:tr>
      <w:tr>
        <w:tc>
          <w:tcPr>
            <w:tcBorders>
              <w:bottom w:val="single" w:sz="4" w:space="0" w:color="C4B7A6"/>
            </w:tcBorders>
          </w:tcPr>
          <w:p>
            <w:pPr>
              <w:pStyle w:val="Compact"/>
              <w:jc w:val="left"/>
            </w:pPr>
            <w:r>
              <w:rPr>
                <w:rFonts w:ascii="Georgia" w:hAnsi="Georgia"/>
                <w:color w:val="333333"/>
                <w:sz w:val="19"/>
              </w:rPr>
              <w:t xml:space="preserve">Continental Resources</w:t>
            </w:r>
          </w:p>
        </w:tc>
        <w:tc>
          <w:tcPr>
            <w:tcBorders>
              <w:bottom w:val="single" w:sz="4" w:space="0" w:color="C4B7A6"/>
            </w:tcBorders>
          </w:tcPr>
          <w:p>
            <w:pPr>
              <w:pStyle w:val="Compact"/>
              <w:jc w:val="right"/>
            </w:pPr>
            <w:r>
              <w:rPr>
                <w:rFonts w:ascii="Georgia" w:hAnsi="Georgia"/>
                <w:color w:val="333333"/>
                <w:sz w:val="19"/>
              </w:rPr>
              <w:t xml:space="preserve">91</w:t>
            </w:r>
          </w:p>
        </w:tc>
        <w:tc>
          <w:tcPr>
            <w:tcBorders>
              <w:bottom w:val="single" w:sz="4" w:space="0" w:color="C4B7A6"/>
            </w:tcBorders>
          </w:tcPr>
          <w:p>
            <w:pPr>
              <w:pStyle w:val="Compact"/>
              <w:jc w:val="left"/>
            </w:pPr>
            <w:r>
              <w:rPr>
                <w:rFonts w:ascii="Georgia" w:hAnsi="Georgia"/>
                <w:color w:val="333333"/>
                <w:sz w:val="19"/>
              </w:rPr>
              <w:t xml:space="preserve">Largest county producer; strongest design escalation</w:t>
            </w:r>
          </w:p>
        </w:tc>
      </w:tr>
      <w:tr>
        <w:tc>
          <w:tcPr>
            <w:tcBorders>
              <w:bottom w:val="single" w:sz="4" w:space="0" w:color="C4B7A6"/>
            </w:tcBorders>
          </w:tcPr>
          <w:p>
            <w:pPr>
              <w:pStyle w:val="Compact"/>
              <w:jc w:val="left"/>
            </w:pPr>
            <w:r>
              <w:rPr>
                <w:rFonts w:ascii="Georgia" w:hAnsi="Georgia"/>
                <w:color w:val="333333"/>
                <w:sz w:val="19"/>
              </w:rPr>
              <w:t xml:space="preserve">Oxy / Anadarko</w:t>
            </w:r>
          </w:p>
        </w:tc>
        <w:tc>
          <w:tcPr>
            <w:tcBorders>
              <w:bottom w:val="single" w:sz="4" w:space="0" w:color="C4B7A6"/>
            </w:tcBorders>
          </w:tcPr>
          <w:p>
            <w:pPr>
              <w:pStyle w:val="Compact"/>
              <w:jc w:val="right"/>
            </w:pPr>
            <w:r>
              <w:rPr>
                <w:rFonts w:ascii="Georgia" w:hAnsi="Georgia"/>
                <w:color w:val="333333"/>
                <w:sz w:val="19"/>
              </w:rPr>
              <w:t xml:space="preserve">52</w:t>
            </w:r>
          </w:p>
        </w:tc>
        <w:tc>
          <w:tcPr>
            <w:tcBorders>
              <w:bottom w:val="single" w:sz="4" w:space="0" w:color="C4B7A6"/>
            </w:tcBorders>
          </w:tcPr>
          <w:p>
            <w:pPr>
              <w:pStyle w:val="Compact"/>
              <w:jc w:val="left"/>
            </w:pPr>
            <w:r>
              <w:rPr>
                <w:rFonts w:ascii="Georgia" w:hAnsi="Georgia"/>
                <w:color w:val="333333"/>
                <w:sz w:val="19"/>
              </w:rPr>
              <w:t xml:space="preserve">Program wound down through 2025</w:t>
            </w:r>
          </w:p>
        </w:tc>
      </w:tr>
      <w:tr>
        <w:tc>
          <w:tcPr>
            <w:tcBorders>
              <w:bottom w:val="single" w:sz="4" w:space="0" w:color="C4B7A6"/>
            </w:tcBorders>
          </w:tcPr>
          <w:p>
            <w:pPr>
              <w:pStyle w:val="Compact"/>
              <w:jc w:val="left"/>
            </w:pPr>
            <w:r>
              <w:rPr>
                <w:rFonts w:ascii="Georgia" w:hAnsi="Georgia"/>
                <w:color w:val="333333"/>
                <w:sz w:val="19"/>
              </w:rPr>
              <w:t xml:space="preserve">Devon Energy</w:t>
            </w:r>
          </w:p>
        </w:tc>
        <w:tc>
          <w:tcPr>
            <w:tcBorders>
              <w:bottom w:val="single" w:sz="4" w:space="0" w:color="C4B7A6"/>
            </w:tcBorders>
          </w:tcPr>
          <w:p>
            <w:pPr>
              <w:pStyle w:val="Compact"/>
              <w:jc w:val="right"/>
            </w:pPr>
            <w:r>
              <w:rPr>
                <w:rFonts w:ascii="Georgia" w:hAnsi="Georgia"/>
                <w:color w:val="333333"/>
                <w:sz w:val="19"/>
              </w:rPr>
              <w:t xml:space="preserve">49</w:t>
            </w:r>
          </w:p>
        </w:tc>
        <w:tc>
          <w:tcPr>
            <w:tcBorders>
              <w:bottom w:val="single" w:sz="4" w:space="0" w:color="C4B7A6"/>
            </w:tcBorders>
          </w:tcPr>
          <w:p>
            <w:pPr>
              <w:pStyle w:val="Compact"/>
              <w:jc w:val="left"/>
            </w:pPr>
            <w:r>
              <w:rPr>
                <w:rFonts w:ascii="Georgia" w:hAnsi="Georgia"/>
                <w:color w:val="333333"/>
                <w:sz w:val="19"/>
              </w:rPr>
              <w:t xml:space="preserve">WPX merger position, 2021</w:t>
            </w:r>
            <w:r>
              <w:rPr>
                <w:rFonts w:ascii="Georgia" w:hAnsi="Georgia"/>
                <w:color w:val="333333"/>
                <w:sz w:val="19"/>
                <w:vertAlign w:val="superscript"/>
              </w:rPr>
              <w:footnoteReference w:id="7"/>
            </w:r>
          </w:p>
        </w:tc>
      </w:tr>
      <w:tr>
        <w:tc>
          <w:tcPr>
            <w:tcBorders>
              <w:bottom w:val="single" w:sz="4" w:space="0" w:color="C4B7A6"/>
            </w:tcBorders>
          </w:tcPr>
          <w:p>
            <w:pPr>
              <w:pStyle w:val="Compact"/>
              <w:jc w:val="left"/>
            </w:pPr>
            <w:r>
              <w:rPr>
                <w:rFonts w:ascii="Georgia" w:hAnsi="Georgia"/>
                <w:color w:val="333333"/>
                <w:sz w:val="19"/>
              </w:rPr>
              <w:t xml:space="preserve">WRC Energy</w:t>
            </w:r>
          </w:p>
        </w:tc>
        <w:tc>
          <w:tcPr>
            <w:tcBorders>
              <w:bottom w:val="single" w:sz="4" w:space="0" w:color="C4B7A6"/>
            </w:tcBorders>
          </w:tcPr>
          <w:p>
            <w:pPr>
              <w:pStyle w:val="Compact"/>
              <w:jc w:val="right"/>
            </w:pPr>
            <w:r>
              <w:rPr>
                <w:rFonts w:ascii="Georgia" w:hAnsi="Georgia"/>
                <w:color w:val="333333"/>
                <w:sz w:val="19"/>
              </w:rPr>
              <w:t xml:space="preserve">33</w:t>
            </w:r>
          </w:p>
        </w:tc>
        <w:tc>
          <w:tcPr>
            <w:tcBorders>
              <w:bottom w:val="single" w:sz="4" w:space="0" w:color="C4B7A6"/>
            </w:tcBorders>
          </w:tcPr>
          <w:p>
            <w:pPr>
              <w:pStyle w:val="Compact"/>
              <w:jc w:val="left"/>
            </w:pPr>
            <w:r>
              <w:rPr>
                <w:rFonts w:ascii="Georgia" w:hAnsi="Georgia"/>
                <w:color w:val="333333"/>
                <w:sz w:val="19"/>
              </w:rPr>
              <w:t xml:space="preserve">Most active independent (formed ~2021, NGP-backed)</w:t>
            </w:r>
            <w:r>
              <w:rPr>
                <w:rFonts w:ascii="Georgia" w:hAnsi="Georgia"/>
                <w:color w:val="333333"/>
                <w:sz w:val="19"/>
                <w:vertAlign w:val="superscript"/>
              </w:rPr>
              <w:footnoteReference w:id="8"/>
            </w:r>
          </w:p>
        </w:tc>
      </w:tr>
      <w:tr>
        <w:tc>
          <w:tcPr>
            <w:tcBorders>
              <w:bottom w:val="single" w:sz="4" w:space="0" w:color="C4B7A6"/>
            </w:tcBorders>
          </w:tcPr>
          <w:p>
            <w:pPr>
              <w:pStyle w:val="Compact"/>
              <w:jc w:val="left"/>
            </w:pPr>
            <w:r>
              <w:rPr>
                <w:rFonts w:ascii="Georgia" w:hAnsi="Georgia"/>
                <w:color w:val="333333"/>
                <w:sz w:val="19"/>
              </w:rPr>
              <w:t xml:space="preserve">1876 Resources</w:t>
            </w:r>
          </w:p>
        </w:tc>
        <w:tc>
          <w:tcPr>
            <w:tcBorders>
              <w:bottom w:val="single" w:sz="4" w:space="0" w:color="C4B7A6"/>
            </w:tcBorders>
          </w:tcPr>
          <w:p>
            <w:pPr>
              <w:pStyle w:val="Compact"/>
              <w:jc w:val="right"/>
            </w:pPr>
            <w:r>
              <w:rPr>
                <w:rFonts w:ascii="Georgia" w:hAnsi="Georgia"/>
                <w:color w:val="333333"/>
                <w:sz w:val="19"/>
              </w:rPr>
              <w:t xml:space="preserve">29</w:t>
            </w:r>
          </w:p>
        </w:tc>
        <w:tc>
          <w:tcPr>
            <w:tcBorders>
              <w:bottom w:val="single" w:sz="4" w:space="0" w:color="C4B7A6"/>
            </w:tcBorders>
          </w:tcPr>
          <w:p>
            <w:pPr>
              <w:pStyle w:val="Compact"/>
              <w:jc w:val="left"/>
            </w:pPr>
            <w:r>
              <w:rPr>
                <w:rFonts w:ascii="Georgia" w:hAnsi="Georgia"/>
                <w:color w:val="333333"/>
                <w:sz w:val="19"/>
              </w:rPr>
              <w:t xml:space="preserve">Independent; Deutsche Rohstoff AG subsidiary</w:t>
            </w:r>
            <w:r>
              <w:rPr>
                <w:rFonts w:ascii="Georgia" w:hAnsi="Georgia"/>
                <w:color w:val="333333"/>
                <w:sz w:val="19"/>
                <w:vertAlign w:val="superscript"/>
              </w:rPr>
              <w:footnoteReference w:id="9"/>
            </w:r>
          </w:p>
        </w:tc>
      </w:tr>
      <w:tr>
        <w:tc>
          <w:tcPr>
            <w:tcBorders>
              <w:bottom w:val="single" w:sz="4" w:space="0" w:color="C4B7A6"/>
            </w:tcBorders>
          </w:tcPr>
          <w:p>
            <w:pPr>
              <w:pStyle w:val="Compact"/>
              <w:jc w:val="left"/>
            </w:pPr>
            <w:r>
              <w:rPr>
                <w:rFonts w:ascii="Georgia" w:hAnsi="Georgia"/>
                <w:color w:val="333333"/>
                <w:sz w:val="19"/>
              </w:rPr>
              <w:t xml:space="preserve">Sage Butte PRB</w:t>
            </w:r>
          </w:p>
        </w:tc>
        <w:tc>
          <w:tcPr>
            <w:tcBorders>
              <w:bottom w:val="single" w:sz="4" w:space="0" w:color="C4B7A6"/>
            </w:tcBorders>
          </w:tcPr>
          <w:p>
            <w:pPr>
              <w:pStyle w:val="Compact"/>
              <w:jc w:val="right"/>
            </w:pPr>
            <w:r>
              <w:rPr>
                <w:rFonts w:ascii="Georgia" w:hAnsi="Georgia"/>
                <w:color w:val="333333"/>
                <w:sz w:val="19"/>
              </w:rPr>
              <w:t xml:space="preserve">16</w:t>
            </w:r>
          </w:p>
        </w:tc>
        <w:tc>
          <w:tcPr>
            <w:tcBorders>
              <w:bottom w:val="single" w:sz="4" w:space="0" w:color="C4B7A6"/>
            </w:tcBorders>
          </w:tcPr>
          <w:p>
            <w:pPr>
              <w:pStyle w:val="Compact"/>
              <w:jc w:val="left"/>
            </w:pPr>
            <w:r>
              <w:rPr>
                <w:rFonts w:ascii="Georgia" w:hAnsi="Georgia"/>
                <w:color w:val="333333"/>
                <w:sz w:val="19"/>
              </w:rPr>
              <w:t xml:space="preserve">OneRock’s 2023 Northwoods acquisition</w:t>
            </w:r>
            <w:r>
              <w:rPr>
                <w:rFonts w:ascii="Georgia" w:hAnsi="Georgia"/>
                <w:color w:val="333333"/>
                <w:sz w:val="19"/>
                <w:vertAlign w:val="superscript"/>
              </w:rPr>
              <w:footnoteReference w:id="10"/>
            </w:r>
          </w:p>
        </w:tc>
      </w:tr>
      <w:tr>
        <w:tc>
          <w:tcPr>
            <w:tcBorders>
              <w:bottom w:val="single" w:sz="4" w:space="0" w:color="C4B7A6"/>
            </w:tcBorders>
          </w:tcPr>
          <w:p>
            <w:pPr>
              <w:pStyle w:val="Compact"/>
              <w:jc w:val="left"/>
            </w:pPr>
            <w:r>
              <w:rPr>
                <w:rFonts w:ascii="Georgia" w:hAnsi="Georgia"/>
                <w:color w:val="333333"/>
                <w:sz w:val="19"/>
              </w:rPr>
              <w:t xml:space="preserve">MDS Energy</w:t>
            </w:r>
          </w:p>
        </w:tc>
        <w:tc>
          <w:tcPr>
            <w:tcBorders>
              <w:bottom w:val="single" w:sz="4" w:space="0" w:color="C4B7A6"/>
            </w:tcBorders>
          </w:tcPr>
          <w:p>
            <w:pPr>
              <w:pStyle w:val="Compact"/>
              <w:jc w:val="right"/>
            </w:pPr>
            <w:r>
              <w:rPr>
                <w:rFonts w:ascii="Georgia" w:hAnsi="Georgia"/>
                <w:color w:val="333333"/>
                <w:sz w:val="19"/>
              </w:rPr>
              <w:t xml:space="preserve">3</w:t>
            </w:r>
          </w:p>
        </w:tc>
        <w:tc>
          <w:tcPr>
            <w:tcBorders>
              <w:bottom w:val="single" w:sz="4" w:space="0" w:color="C4B7A6"/>
            </w:tcBorders>
          </w:tcPr>
          <w:p>
            <w:pPr>
              <w:pStyle w:val="Compact"/>
            </w:pPr>
          </w:p>
        </w:tc>
      </w:tr>
      <w:tr>
        <w:tc>
          <w:tcPr>
            <w:tcBorders>
              <w:bottom w:val="single" w:sz="4" w:space="0" w:color="C4B7A6"/>
            </w:tcBorders>
          </w:tcPr>
          <w:p>
            <w:pPr>
              <w:pStyle w:val="Compact"/>
              <w:jc w:val="left"/>
            </w:pPr>
            <w:r>
              <w:rPr>
                <w:rFonts w:ascii="Georgia" w:hAnsi="Georgia"/>
                <w:color w:val="333333"/>
                <w:sz w:val="19"/>
              </w:rPr>
              <w:t xml:space="preserve">Rockies Resources</w:t>
            </w:r>
          </w:p>
        </w:tc>
        <w:tc>
          <w:tcPr>
            <w:tcBorders>
              <w:bottom w:val="single" w:sz="4" w:space="0" w:color="C4B7A6"/>
            </w:tcBorders>
          </w:tcPr>
          <w:p>
            <w:pPr>
              <w:pStyle w:val="Compact"/>
              <w:jc w:val="right"/>
            </w:pPr>
            <w:r>
              <w:rPr>
                <w:rFonts w:ascii="Georgia" w:hAnsi="Georgia"/>
                <w:color w:val="333333"/>
                <w:sz w:val="19"/>
              </w:rPr>
              <w:t xml:space="preserve">2</w:t>
            </w:r>
          </w:p>
        </w:tc>
        <w:tc>
          <w:tcPr>
            <w:tcBorders>
              <w:bottom w:val="single" w:sz="4" w:space="0" w:color="C4B7A6"/>
            </w:tcBorders>
          </w:tcPr>
          <w:p>
            <w:pPr>
              <w:pStyle w:val="Compact"/>
              <w:jc w:val="left"/>
            </w:pPr>
            <w:r>
              <w:rPr>
                <w:rFonts w:ascii="Georgia" w:hAnsi="Georgia"/>
                <w:color w:val="333333"/>
                <w:sz w:val="19"/>
              </w:rPr>
              <w:t xml:space="preserve">Shallower Turner/Parkman program</w:t>
            </w:r>
          </w:p>
        </w:tc>
      </w:tr>
      <w:tr>
        <w:tc>
          <w:tcPr>
            <w:tcBorders>
              <w:bottom w:val="single" w:sz="4" w:space="0" w:color="C4B7A6"/>
            </w:tcBorders>
          </w:tcPr>
          <w:p>
            <w:pPr>
              <w:pStyle w:val="Compact"/>
              <w:jc w:val="left"/>
            </w:pPr>
            <w:r>
              <w:rPr>
                <w:rFonts w:ascii="Georgia" w:hAnsi="Georgia"/>
                <w:color w:val="333333"/>
                <w:sz w:val="19"/>
              </w:rPr>
              <w:t xml:space="preserve">EOG</w:t>
            </w:r>
          </w:p>
        </w:tc>
        <w:tc>
          <w:tcPr>
            <w:tcBorders>
              <w:bottom w:val="single" w:sz="4" w:space="0" w:color="C4B7A6"/>
            </w:tcBorders>
          </w:tcPr>
          <w:p>
            <w:pPr>
              <w:pStyle w:val="Compact"/>
              <w:jc w:val="right"/>
            </w:pPr>
            <w:r>
              <w:rPr>
                <w:rFonts w:ascii="Georgia" w:hAnsi="Georgia"/>
                <w:color w:val="333333"/>
                <w:sz w:val="19"/>
              </w:rPr>
              <w:t xml:space="preserve">1</w:t>
            </w:r>
          </w:p>
        </w:tc>
        <w:tc>
          <w:tcPr>
            <w:tcBorders>
              <w:bottom w:val="single" w:sz="4" w:space="0" w:color="C4B7A6"/>
            </w:tcBorders>
          </w:tcPr>
          <w:p>
            <w:pPr>
              <w:pStyle w:val="Compact"/>
            </w:pPr>
          </w:p>
        </w:tc>
      </w:tr>
      <w:tr>
        <w:tc>
          <w:tcPr>
            <w:tcBorders>
              <w:bottom w:val="single" w:sz="4" w:space="0" w:color="C4B7A6"/>
            </w:tcBorders>
          </w:tcPr>
          <w:p>
            <w:pPr>
              <w:pStyle w:val="Compact"/>
              <w:jc w:val="left"/>
            </w:pPr>
            <w:r>
              <w:rPr>
                <w:rFonts w:ascii="Georgia" w:hAnsi="Georgia"/>
                <w:color w:val="333333"/>
                <w:sz w:val="19"/>
              </w:rPr>
              <w:t xml:space="preserve">Unidentified</w:t>
            </w:r>
          </w:p>
        </w:tc>
        <w:tc>
          <w:tcPr>
            <w:tcBorders>
              <w:bottom w:val="single" w:sz="4" w:space="0" w:color="C4B7A6"/>
            </w:tcBorders>
          </w:tcPr>
          <w:p>
            <w:pPr>
              <w:pStyle w:val="Compact"/>
              <w:jc w:val="right"/>
            </w:pPr>
            <w:r>
              <w:rPr>
                <w:rFonts w:ascii="Georgia" w:hAnsi="Georgia"/>
                <w:color w:val="333333"/>
                <w:sz w:val="19"/>
              </w:rPr>
              <w:t xml:space="preserve">3</w:t>
            </w:r>
          </w:p>
        </w:tc>
        <w:tc>
          <w:tcPr>
            <w:tcBorders>
              <w:bottom w:val="single" w:sz="4" w:space="0" w:color="C4B7A6"/>
            </w:tcBorders>
          </w:tcPr>
          <w:p>
            <w:pPr>
              <w:pStyle w:val="Compact"/>
              <w:jc w:val="left"/>
            </w:pPr>
            <w:r>
              <w:rPr>
                <w:rFonts w:ascii="Georgia" w:hAnsi="Georgia"/>
                <w:color w:val="333333"/>
                <w:sz w:val="19"/>
              </w:rPr>
              <w:t xml:space="preserve">No disclosure match</w:t>
            </w:r>
          </w:p>
        </w:tc>
      </w:tr>
    </w:tbl>
    <w:p>
      <w:pPr>
        <w:pStyle w:val="BodyText"/>
      </w:pPr>
      <w:r>
        <w:t xml:space="preserve">Two structural observations. First,</w:t>
      </w:r>
      <w:r>
        <w:t xml:space="preserve"> </w:t>
      </w:r>
      <w:r>
        <w:rPr>
          <w:bCs/>
          <w:b/>
          <w:color w:val="2E2A26"/>
        </w:rPr>
        <w:t xml:space="preserve">independent operators hold 83 of the 374 wells (22%)</w:t>
      </w:r>
      <w:r>
        <w:t xml:space="preserve"> </w:t>
      </w:r>
      <w:r>
        <w:t xml:space="preserve">— this is no longer a majors-only county. Second, activity peaked in 2024 (140 wells), and the 2025–26 vintage is delivering the county’s best pads: Continental’s ARIEL, MINT, and PRALINE series and WRC’s 2024–25 pads dominate the top-performer table.</w:t>
      </w:r>
      <w:fldSimple w:instr="NOTEREF _Ref_Footnote_1 \h \f">
        <w:r>
          <w:rPr>
            <w:vertAlign w:val="superscript"/>
          </w:rPr>
          <w:t>1</w:t>
        </w:r>
      </w:fldSimple>
      <w:r>
        <w:t xml:space="preserve"> </w:t>
      </w:r>
      <w:r>
        <w:t xml:space="preserve">Note also the consolidation signal: Bright Rock Energy ran 3 jobs in May 2024, then its Wyoming acreage combined into 1876 Resources at year-end — the dataset watches small operators get absorbed in real time.</w:t>
      </w:r>
      <w:fldSimple w:instr="NOTEREF _Ref_Footnote_9 \h \f">
        <w:r>
          <w:rPr>
            <w:vertAlign w:val="superscript"/>
          </w:rPr>
          <w:t>9</w:t>
        </w:r>
      </w:fldSimple>
    </w:p>
    <w:bookmarkEnd w:id="22"/>
    <w:bookmarkStart w:id="23" w:name="X4797b81f724a429a8aad4e194744c1de0581565"/>
    <w:p>
      <w:pPr>
        <w:pStyle w:val="Heading2"/>
      </w:pPr>
      <w:r>
        <w:rPr>
          <w:spacing w:val="24"/>
        </w:rPr>
        <w:t>2 · DESIGN INTENSITY BENCHMARK — THE FLUID ARMS RACE</w:t>
      </w:r>
    </w:p>
    <w:p>
      <w:pPr>
        <w:pStyle w:val="FirstParagraph"/>
      </w:pPr>
      <w:r>
        <w:t xml:space="preserve">Total base water volume is the cleanest universal measure of design size (reported on 305 of 314 jobs; 9 no-report jobs excluded).</w:t>
      </w:r>
      <w:fldSimple w:instr="NOTEREF _Ref_Footnote_4 \h \f">
        <w:r>
          <w:rPr>
            <w:vertAlign w:val="superscript"/>
          </w:rPr>
          <w:t>4</w:t>
        </w:r>
      </w:fldSimple>
    </w:p>
    <w:p>
      <w:pPr>
        <w:pStyle w:val="BodyText"/>
      </w:pPr>
      <w:r>
        <w:rPr>
          <w:bCs/>
          <w:b/>
          <w:color w:val="2E2A26"/>
        </w:rPr>
        <w:t xml:space="preserve">Median fluid volume by operator (gal):</w:t>
      </w:r>
    </w:p>
    <w:tbl>
      <w:tblPr>
        <w:tblStyle w:val="Table"/>
        <w:tblW w:type="auto" w:w="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1584"/>
        <w:gridCol w:w="1584"/>
        <w:gridCol w:w="1584"/>
        <w:gridCol w:w="1584"/>
        <w:gridCol w:w="1584"/>
      </w:tblGrid>
      <w:tr>
        <w:trPr>
          <w:tblHeader w:val="true"/>
        </w:trPr>
        <w:tc>
          <w:tcPr>
            <w:tcBorders>
              <w:bottom w:val="single" w:sz="12" w:space="0" w:color="8B7355"/>
            </w:tcBorders>
          </w:tcPr>
          <w:p>
            <w:pPr>
              <w:pStyle w:val="Compact"/>
              <w:jc w:val="left"/>
            </w:pPr>
            <w:r>
              <w:rPr>
                <w:rFonts w:ascii="Georgia" w:hAnsi="Georgia"/>
                <w:b/>
                <w:color w:val="5C6E7F"/>
                <w:sz w:val="17"/>
                <w:spacing w:val="12"/>
              </w:rPr>
              <w:t>OPERATOR</w:t>
            </w:r>
          </w:p>
        </w:tc>
        <w:tc>
          <w:tcPr>
            <w:tcBorders>
              <w:bottom w:val="single" w:sz="12" w:space="0" w:color="8B7355"/>
            </w:tcBorders>
          </w:tcPr>
          <w:p>
            <w:pPr>
              <w:pStyle w:val="Compact"/>
              <w:jc w:val="right"/>
            </w:pPr>
            <w:r>
              <w:rPr>
                <w:rFonts w:ascii="Georgia" w:hAnsi="Georgia"/>
                <w:b/>
                <w:color w:val="5C6E7F"/>
                <w:sz w:val="17"/>
                <w:spacing w:val="12"/>
              </w:rPr>
              <w:t>JOBS</w:t>
            </w:r>
          </w:p>
        </w:tc>
        <w:tc>
          <w:tcPr>
            <w:tcBorders>
              <w:bottom w:val="single" w:sz="12" w:space="0" w:color="8B7355"/>
            </w:tcBorders>
          </w:tcPr>
          <w:p>
            <w:pPr>
              <w:pStyle w:val="Compact"/>
              <w:jc w:val="right"/>
            </w:pPr>
            <w:r>
              <w:rPr>
                <w:rFonts w:ascii="Georgia" w:hAnsi="Georgia"/>
                <w:b/>
                <w:color w:val="5C6E7F"/>
                <w:sz w:val="17"/>
                <w:spacing w:val="12"/>
              </w:rPr>
              <w:t>P25</w:t>
            </w:r>
          </w:p>
        </w:tc>
        <w:tc>
          <w:tcPr>
            <w:tcBorders>
              <w:bottom w:val="single" w:sz="12" w:space="0" w:color="8B7355"/>
            </w:tcBorders>
          </w:tcPr>
          <w:p>
            <w:pPr>
              <w:pStyle w:val="Compact"/>
              <w:jc w:val="right"/>
            </w:pPr>
            <w:r>
              <w:rPr>
                <w:rFonts w:ascii="Georgia" w:hAnsi="Georgia"/>
                <w:b/>
                <w:color w:val="5C6E7F"/>
                <w:sz w:val="17"/>
                <w:spacing w:val="12"/>
              </w:rPr>
              <w:t>MEDIAN</w:t>
            </w:r>
          </w:p>
        </w:tc>
        <w:tc>
          <w:tcPr>
            <w:tcBorders>
              <w:bottom w:val="single" w:sz="12" w:space="0" w:color="8B7355"/>
            </w:tcBorders>
          </w:tcPr>
          <w:p>
            <w:pPr>
              <w:pStyle w:val="Compact"/>
              <w:jc w:val="right"/>
            </w:pPr>
            <w:r>
              <w:rPr>
                <w:rFonts w:ascii="Georgia" w:hAnsi="Georgia"/>
                <w:b/>
                <w:color w:val="5C6E7F"/>
                <w:sz w:val="17"/>
                <w:spacing w:val="12"/>
              </w:rPr>
              <w:t>P75</w:t>
            </w:r>
          </w:p>
        </w:tc>
      </w:tr>
      <w:tr>
        <w:tc>
          <w:tcPr>
            <w:tcBorders>
              <w:bottom w:val="single" w:sz="4" w:space="0" w:color="C4B7A6"/>
            </w:tcBorders>
          </w:tcPr>
          <w:p>
            <w:pPr>
              <w:pStyle w:val="Compact"/>
              <w:jc w:val="left"/>
            </w:pPr>
            <w:r>
              <w:rPr>
                <w:rFonts w:ascii="Georgia" w:hAnsi="Georgia"/>
                <w:color w:val="333333"/>
                <w:sz w:val="19"/>
              </w:rPr>
              <w:t xml:space="preserve">Devon Energy</w:t>
            </w:r>
          </w:p>
        </w:tc>
        <w:tc>
          <w:tcPr>
            <w:tcBorders>
              <w:bottom w:val="single" w:sz="4" w:space="0" w:color="C4B7A6"/>
            </w:tcBorders>
          </w:tcPr>
          <w:p>
            <w:pPr>
              <w:pStyle w:val="Compact"/>
              <w:jc w:val="right"/>
            </w:pPr>
            <w:r>
              <w:rPr>
                <w:rFonts w:ascii="Georgia" w:hAnsi="Georgia"/>
                <w:color w:val="333333"/>
                <w:sz w:val="19"/>
              </w:rPr>
              <w:t xml:space="preserve">49</w:t>
            </w:r>
          </w:p>
        </w:tc>
        <w:tc>
          <w:tcPr>
            <w:tcBorders>
              <w:bottom w:val="single" w:sz="4" w:space="0" w:color="C4B7A6"/>
            </w:tcBorders>
          </w:tcPr>
          <w:p>
            <w:pPr>
              <w:pStyle w:val="Compact"/>
              <w:jc w:val="right"/>
            </w:pPr>
            <w:r>
              <w:rPr>
                <w:rFonts w:ascii="Georgia" w:hAnsi="Georgia"/>
                <w:color w:val="333333"/>
                <w:sz w:val="19"/>
              </w:rPr>
              <w:t xml:space="preserve">17.6M</w:t>
            </w:r>
          </w:p>
        </w:tc>
        <w:tc>
          <w:tcPr>
            <w:tcBorders>
              <w:bottom w:val="single" w:sz="4" w:space="0" w:color="C4B7A6"/>
            </w:tcBorders>
          </w:tcPr>
          <w:p>
            <w:pPr>
              <w:pStyle w:val="Compact"/>
              <w:jc w:val="right"/>
            </w:pPr>
            <w:r>
              <w:rPr>
                <w:bCs/>
                <w:rFonts w:ascii="Georgia" w:hAnsi="Georgia"/>
                <w:b/>
                <w:color w:val="2E2A26"/>
                <w:sz w:val="19"/>
              </w:rPr>
              <w:t xml:space="preserve">25.4M</w:t>
            </w:r>
          </w:p>
        </w:tc>
        <w:tc>
          <w:tcPr>
            <w:tcBorders>
              <w:bottom w:val="single" w:sz="4" w:space="0" w:color="C4B7A6"/>
            </w:tcBorders>
          </w:tcPr>
          <w:p>
            <w:pPr>
              <w:pStyle w:val="Compact"/>
              <w:jc w:val="right"/>
            </w:pPr>
            <w:r>
              <w:rPr>
                <w:rFonts w:ascii="Georgia" w:hAnsi="Georgia"/>
                <w:color w:val="333333"/>
                <w:sz w:val="19"/>
              </w:rPr>
              <w:t xml:space="preserve">28.5M</w:t>
            </w:r>
          </w:p>
        </w:tc>
      </w:tr>
      <w:tr>
        <w:tc>
          <w:tcPr>
            <w:tcBorders>
              <w:bottom w:val="single" w:sz="4" w:space="0" w:color="C4B7A6"/>
            </w:tcBorders>
          </w:tcPr>
          <w:p>
            <w:pPr>
              <w:pStyle w:val="Compact"/>
              <w:jc w:val="left"/>
            </w:pPr>
            <w:r>
              <w:rPr>
                <w:rFonts w:ascii="Georgia" w:hAnsi="Georgia"/>
                <w:color w:val="333333"/>
                <w:sz w:val="19"/>
              </w:rPr>
              <w:t xml:space="preserve">Continental</w:t>
            </w:r>
          </w:p>
        </w:tc>
        <w:tc>
          <w:tcPr>
            <w:tcBorders>
              <w:bottom w:val="single" w:sz="4" w:space="0" w:color="C4B7A6"/>
            </w:tcBorders>
          </w:tcPr>
          <w:p>
            <w:pPr>
              <w:pStyle w:val="Compact"/>
              <w:jc w:val="right"/>
            </w:pPr>
            <w:r>
              <w:rPr>
                <w:rFonts w:ascii="Georgia" w:hAnsi="Georgia"/>
                <w:color w:val="333333"/>
                <w:sz w:val="19"/>
              </w:rPr>
              <w:t xml:space="preserve">83</w:t>
            </w:r>
          </w:p>
        </w:tc>
        <w:tc>
          <w:tcPr>
            <w:tcBorders>
              <w:bottom w:val="single" w:sz="4" w:space="0" w:color="C4B7A6"/>
            </w:tcBorders>
          </w:tcPr>
          <w:p>
            <w:pPr>
              <w:pStyle w:val="Compact"/>
              <w:jc w:val="right"/>
            </w:pPr>
            <w:r>
              <w:rPr>
                <w:rFonts w:ascii="Georgia" w:hAnsi="Georgia"/>
                <w:color w:val="333333"/>
                <w:sz w:val="19"/>
              </w:rPr>
              <w:t xml:space="preserve">17.4M</w:t>
            </w:r>
          </w:p>
        </w:tc>
        <w:tc>
          <w:tcPr>
            <w:tcBorders>
              <w:bottom w:val="single" w:sz="4" w:space="0" w:color="C4B7A6"/>
            </w:tcBorders>
          </w:tcPr>
          <w:p>
            <w:pPr>
              <w:pStyle w:val="Compact"/>
              <w:jc w:val="right"/>
            </w:pPr>
            <w:r>
              <w:rPr>
                <w:bCs/>
                <w:rFonts w:ascii="Georgia" w:hAnsi="Georgia"/>
                <w:b/>
                <w:color w:val="2E2A26"/>
                <w:sz w:val="19"/>
              </w:rPr>
              <w:t xml:space="preserve">23.7M</w:t>
            </w:r>
          </w:p>
        </w:tc>
        <w:tc>
          <w:tcPr>
            <w:tcBorders>
              <w:bottom w:val="single" w:sz="4" w:space="0" w:color="C4B7A6"/>
            </w:tcBorders>
          </w:tcPr>
          <w:p>
            <w:pPr>
              <w:pStyle w:val="Compact"/>
              <w:jc w:val="right"/>
            </w:pPr>
            <w:r>
              <w:rPr>
                <w:rFonts w:ascii="Georgia" w:hAnsi="Georgia"/>
                <w:color w:val="333333"/>
                <w:sz w:val="19"/>
              </w:rPr>
              <w:t xml:space="preserve">29.5M</w:t>
            </w:r>
          </w:p>
        </w:tc>
      </w:tr>
      <w:tr>
        <w:tc>
          <w:tcPr>
            <w:tcBorders>
              <w:bottom w:val="single" w:sz="4" w:space="0" w:color="C4B7A6"/>
            </w:tcBorders>
          </w:tcPr>
          <w:p>
            <w:pPr>
              <w:pStyle w:val="Compact"/>
              <w:jc w:val="left"/>
            </w:pPr>
            <w:r>
              <w:rPr>
                <w:rFonts w:ascii="Georgia" w:hAnsi="Georgia"/>
                <w:color w:val="333333"/>
                <w:sz w:val="19"/>
              </w:rPr>
              <w:t xml:space="preserve">Bright Rock</w:t>
            </w:r>
          </w:p>
        </w:tc>
        <w:tc>
          <w:tcPr>
            <w:tcBorders>
              <w:bottom w:val="single" w:sz="4" w:space="0" w:color="C4B7A6"/>
            </w:tcBorders>
          </w:tcPr>
          <w:p>
            <w:pPr>
              <w:pStyle w:val="Compact"/>
              <w:jc w:val="right"/>
            </w:pPr>
            <w:r>
              <w:rPr>
                <w:rFonts w:ascii="Georgia" w:hAnsi="Georgia"/>
                <w:color w:val="333333"/>
                <w:sz w:val="19"/>
              </w:rPr>
              <w:t xml:space="preserve">3</w:t>
            </w:r>
          </w:p>
        </w:tc>
        <w:tc>
          <w:tcPr>
            <w:tcBorders>
              <w:bottom w:val="single" w:sz="4" w:space="0" w:color="C4B7A6"/>
            </w:tcBorders>
          </w:tcPr>
          <w:p>
            <w:pPr>
              <w:pStyle w:val="Compact"/>
              <w:jc w:val="right"/>
            </w:pPr>
            <w:r>
              <w:rPr>
                <w:rFonts w:ascii="Georgia" w:hAnsi="Georgia"/>
                <w:color w:val="333333"/>
                <w:sz w:val="19"/>
              </w:rPr>
              <w:t xml:space="preserve">19.5M</w:t>
            </w:r>
          </w:p>
        </w:tc>
        <w:tc>
          <w:tcPr>
            <w:tcBorders>
              <w:bottom w:val="single" w:sz="4" w:space="0" w:color="C4B7A6"/>
            </w:tcBorders>
          </w:tcPr>
          <w:p>
            <w:pPr>
              <w:pStyle w:val="Compact"/>
              <w:jc w:val="right"/>
            </w:pPr>
            <w:r>
              <w:rPr>
                <w:bCs/>
                <w:rFonts w:ascii="Georgia" w:hAnsi="Georgia"/>
                <w:b/>
                <w:color w:val="2E2A26"/>
                <w:sz w:val="19"/>
              </w:rPr>
              <w:t xml:space="preserve">23.4M</w:t>
            </w:r>
          </w:p>
        </w:tc>
        <w:tc>
          <w:tcPr>
            <w:tcBorders>
              <w:bottom w:val="single" w:sz="4" w:space="0" w:color="C4B7A6"/>
            </w:tcBorders>
          </w:tcPr>
          <w:p>
            <w:pPr>
              <w:pStyle w:val="Compact"/>
              <w:jc w:val="right"/>
            </w:pPr>
            <w:r>
              <w:rPr>
                <w:rFonts w:ascii="Georgia" w:hAnsi="Georgia"/>
                <w:color w:val="333333"/>
                <w:sz w:val="19"/>
              </w:rPr>
              <w:t xml:space="preserve">25.2M</w:t>
            </w:r>
          </w:p>
        </w:tc>
      </w:tr>
      <w:tr>
        <w:tc>
          <w:tcPr>
            <w:tcBorders>
              <w:bottom w:val="single" w:sz="4" w:space="0" w:color="C4B7A6"/>
            </w:tcBorders>
          </w:tcPr>
          <w:p>
            <w:pPr>
              <w:pStyle w:val="Compact"/>
              <w:jc w:val="left"/>
            </w:pPr>
            <w:r>
              <w:rPr>
                <w:rFonts w:ascii="Georgia" w:hAnsi="Georgia"/>
                <w:color w:val="333333"/>
                <w:sz w:val="19"/>
              </w:rPr>
              <w:t xml:space="preserve">1876 Resources</w:t>
            </w:r>
          </w:p>
        </w:tc>
        <w:tc>
          <w:tcPr>
            <w:tcBorders>
              <w:bottom w:val="single" w:sz="4" w:space="0" w:color="C4B7A6"/>
            </w:tcBorders>
          </w:tcPr>
          <w:p>
            <w:pPr>
              <w:pStyle w:val="Compact"/>
              <w:jc w:val="right"/>
            </w:pPr>
            <w:r>
              <w:rPr>
                <w:rFonts w:ascii="Georgia" w:hAnsi="Georgia"/>
                <w:color w:val="333333"/>
                <w:sz w:val="19"/>
              </w:rPr>
              <w:t xml:space="preserve">29</w:t>
            </w:r>
          </w:p>
        </w:tc>
        <w:tc>
          <w:tcPr>
            <w:tcBorders>
              <w:bottom w:val="single" w:sz="4" w:space="0" w:color="C4B7A6"/>
            </w:tcBorders>
          </w:tcPr>
          <w:p>
            <w:pPr>
              <w:pStyle w:val="Compact"/>
              <w:jc w:val="right"/>
            </w:pPr>
            <w:r>
              <w:rPr>
                <w:rFonts w:ascii="Georgia" w:hAnsi="Georgia"/>
                <w:color w:val="333333"/>
                <w:sz w:val="19"/>
              </w:rPr>
              <w:t xml:space="preserve">19.0M</w:t>
            </w:r>
          </w:p>
        </w:tc>
        <w:tc>
          <w:tcPr>
            <w:tcBorders>
              <w:bottom w:val="single" w:sz="4" w:space="0" w:color="C4B7A6"/>
            </w:tcBorders>
          </w:tcPr>
          <w:p>
            <w:pPr>
              <w:pStyle w:val="Compact"/>
              <w:jc w:val="right"/>
            </w:pPr>
            <w:r>
              <w:rPr>
                <w:bCs/>
                <w:rFonts w:ascii="Georgia" w:hAnsi="Georgia"/>
                <w:b/>
                <w:color w:val="2E2A26"/>
                <w:sz w:val="19"/>
              </w:rPr>
              <w:t xml:space="preserve">21.9M</w:t>
            </w:r>
          </w:p>
        </w:tc>
        <w:tc>
          <w:tcPr>
            <w:tcBorders>
              <w:bottom w:val="single" w:sz="4" w:space="0" w:color="C4B7A6"/>
            </w:tcBorders>
          </w:tcPr>
          <w:p>
            <w:pPr>
              <w:pStyle w:val="Compact"/>
              <w:jc w:val="right"/>
            </w:pPr>
            <w:r>
              <w:rPr>
                <w:rFonts w:ascii="Georgia" w:hAnsi="Georgia"/>
                <w:color w:val="333333"/>
                <w:sz w:val="19"/>
              </w:rPr>
              <w:t xml:space="preserve">22.8M</w:t>
            </w:r>
          </w:p>
        </w:tc>
      </w:tr>
      <w:tr>
        <w:tc>
          <w:tcPr>
            <w:tcBorders>
              <w:bottom w:val="single" w:sz="4" w:space="0" w:color="C4B7A6"/>
            </w:tcBorders>
          </w:tcPr>
          <w:p>
            <w:pPr>
              <w:pStyle w:val="Compact"/>
              <w:jc w:val="left"/>
            </w:pPr>
            <w:r>
              <w:rPr>
                <w:rFonts w:ascii="Georgia" w:hAnsi="Georgia"/>
                <w:color w:val="333333"/>
                <w:sz w:val="19"/>
              </w:rPr>
              <w:t xml:space="preserve">EOG</w:t>
            </w:r>
          </w:p>
        </w:tc>
        <w:tc>
          <w:tcPr>
            <w:tcBorders>
              <w:bottom w:val="single" w:sz="4" w:space="0" w:color="C4B7A6"/>
            </w:tcBorders>
          </w:tcPr>
          <w:p>
            <w:pPr>
              <w:pStyle w:val="Compact"/>
              <w:jc w:val="right"/>
            </w:pPr>
            <w:r>
              <w:rPr>
                <w:rFonts w:ascii="Georgia" w:hAnsi="Georgia"/>
                <w:color w:val="333333"/>
                <w:sz w:val="19"/>
              </w:rPr>
              <w:t xml:space="preserve">1</w:t>
            </w:r>
          </w:p>
        </w:tc>
        <w:tc>
          <w:tcPr>
            <w:tcBorders>
              <w:bottom w:val="single" w:sz="4" w:space="0" w:color="C4B7A6"/>
            </w:tcBorders>
          </w:tcPr>
          <w:p>
            <w:pPr>
              <w:pStyle w:val="Compact"/>
              <w:jc w:val="right"/>
            </w:pPr>
            <w:r>
              <w:rPr>
                <w:rFonts w:ascii="Georgia" w:hAnsi="Georgia"/>
                <w:color w:val="333333"/>
                <w:sz w:val="19"/>
              </w:rPr>
              <w:t xml:space="preserve">—</w:t>
            </w:r>
          </w:p>
        </w:tc>
        <w:tc>
          <w:tcPr>
            <w:tcBorders>
              <w:bottom w:val="single" w:sz="4" w:space="0" w:color="C4B7A6"/>
            </w:tcBorders>
          </w:tcPr>
          <w:p>
            <w:pPr>
              <w:pStyle w:val="Compact"/>
              <w:jc w:val="right"/>
            </w:pPr>
            <w:r>
              <w:rPr>
                <w:rFonts w:ascii="Georgia" w:hAnsi="Georgia"/>
                <w:color w:val="333333"/>
                <w:sz w:val="19"/>
              </w:rPr>
              <w:t xml:space="preserve">21.0M</w:t>
            </w:r>
          </w:p>
        </w:tc>
        <w:tc>
          <w:tcPr>
            <w:tcBorders>
              <w:bottom w:val="single" w:sz="4" w:space="0" w:color="C4B7A6"/>
            </w:tcBorders>
          </w:tcPr>
          <w:p>
            <w:pPr>
              <w:pStyle w:val="Compact"/>
              <w:jc w:val="right"/>
            </w:pPr>
            <w:r>
              <w:rPr>
                <w:rFonts w:ascii="Georgia" w:hAnsi="Georgia"/>
                <w:color w:val="333333"/>
                <w:sz w:val="19"/>
              </w:rPr>
              <w:t xml:space="preserve">—</w:t>
            </w:r>
          </w:p>
        </w:tc>
      </w:tr>
      <w:tr>
        <w:tc>
          <w:tcPr>
            <w:tcBorders>
              <w:bottom w:val="single" w:sz="4" w:space="0" w:color="C4B7A6"/>
            </w:tcBorders>
          </w:tcPr>
          <w:p>
            <w:pPr>
              <w:pStyle w:val="Compact"/>
              <w:jc w:val="left"/>
            </w:pPr>
            <w:r>
              <w:rPr>
                <w:rFonts w:ascii="Georgia" w:hAnsi="Georgia"/>
                <w:color w:val="333333"/>
                <w:sz w:val="19"/>
              </w:rPr>
              <w:t xml:space="preserve">Oxy</w:t>
            </w:r>
          </w:p>
        </w:tc>
        <w:tc>
          <w:tcPr>
            <w:tcBorders>
              <w:bottom w:val="single" w:sz="4" w:space="0" w:color="C4B7A6"/>
            </w:tcBorders>
          </w:tcPr>
          <w:p>
            <w:pPr>
              <w:pStyle w:val="Compact"/>
              <w:jc w:val="right"/>
            </w:pPr>
            <w:r>
              <w:rPr>
                <w:rFonts w:ascii="Georgia" w:hAnsi="Georgia"/>
                <w:color w:val="333333"/>
                <w:sz w:val="19"/>
              </w:rPr>
              <w:t xml:space="preserve">44</w:t>
            </w:r>
          </w:p>
        </w:tc>
        <w:tc>
          <w:tcPr>
            <w:tcBorders>
              <w:bottom w:val="single" w:sz="4" w:space="0" w:color="C4B7A6"/>
            </w:tcBorders>
          </w:tcPr>
          <w:p>
            <w:pPr>
              <w:pStyle w:val="Compact"/>
              <w:jc w:val="right"/>
            </w:pPr>
            <w:r>
              <w:rPr>
                <w:rFonts w:ascii="Georgia" w:hAnsi="Georgia"/>
                <w:color w:val="333333"/>
                <w:sz w:val="19"/>
              </w:rPr>
              <w:t xml:space="preserve">8.5M</w:t>
            </w:r>
          </w:p>
        </w:tc>
        <w:tc>
          <w:tcPr>
            <w:tcBorders>
              <w:bottom w:val="single" w:sz="4" w:space="0" w:color="C4B7A6"/>
            </w:tcBorders>
          </w:tcPr>
          <w:p>
            <w:pPr>
              <w:pStyle w:val="Compact"/>
              <w:jc w:val="right"/>
            </w:pPr>
            <w:r>
              <w:rPr>
                <w:bCs/>
                <w:rFonts w:ascii="Georgia" w:hAnsi="Georgia"/>
                <w:b/>
                <w:color w:val="2E2A26"/>
                <w:sz w:val="19"/>
              </w:rPr>
              <w:t xml:space="preserve">20.4M</w:t>
            </w:r>
          </w:p>
        </w:tc>
        <w:tc>
          <w:tcPr>
            <w:tcBorders>
              <w:bottom w:val="single" w:sz="4" w:space="0" w:color="C4B7A6"/>
            </w:tcBorders>
          </w:tcPr>
          <w:p>
            <w:pPr>
              <w:pStyle w:val="Compact"/>
              <w:jc w:val="right"/>
            </w:pPr>
            <w:r>
              <w:rPr>
                <w:rFonts w:ascii="Georgia" w:hAnsi="Georgia"/>
                <w:color w:val="333333"/>
                <w:sz w:val="19"/>
              </w:rPr>
              <w:t xml:space="preserve">21.4M</w:t>
            </w:r>
          </w:p>
        </w:tc>
      </w:tr>
      <w:tr>
        <w:tc>
          <w:tcPr>
            <w:tcBorders>
              <w:bottom w:val="single" w:sz="4" w:space="0" w:color="C4B7A6"/>
            </w:tcBorders>
          </w:tcPr>
          <w:p>
            <w:pPr>
              <w:pStyle w:val="Compact"/>
              <w:jc w:val="left"/>
            </w:pPr>
            <w:r>
              <w:rPr>
                <w:rFonts w:ascii="Georgia" w:hAnsi="Georgia"/>
                <w:color w:val="333333"/>
                <w:sz w:val="19"/>
              </w:rPr>
              <w:t xml:space="preserve">Anschutz</w:t>
            </w:r>
          </w:p>
        </w:tc>
        <w:tc>
          <w:tcPr>
            <w:tcBorders>
              <w:bottom w:val="single" w:sz="4" w:space="0" w:color="C4B7A6"/>
            </w:tcBorders>
          </w:tcPr>
          <w:p>
            <w:pPr>
              <w:pStyle w:val="Compact"/>
              <w:jc w:val="right"/>
            </w:pPr>
            <w:r>
              <w:rPr>
                <w:rFonts w:ascii="Georgia" w:hAnsi="Georgia"/>
                <w:color w:val="333333"/>
                <w:sz w:val="19"/>
              </w:rPr>
              <w:t xml:space="preserve">83</w:t>
            </w:r>
          </w:p>
        </w:tc>
        <w:tc>
          <w:tcPr>
            <w:tcBorders>
              <w:bottom w:val="single" w:sz="4" w:space="0" w:color="C4B7A6"/>
            </w:tcBorders>
          </w:tcPr>
          <w:p>
            <w:pPr>
              <w:pStyle w:val="Compact"/>
              <w:jc w:val="right"/>
            </w:pPr>
            <w:r>
              <w:rPr>
                <w:rFonts w:ascii="Georgia" w:hAnsi="Georgia"/>
                <w:color w:val="333333"/>
                <w:sz w:val="19"/>
              </w:rPr>
              <w:t xml:space="preserve">6.7M</w:t>
            </w:r>
          </w:p>
        </w:tc>
        <w:tc>
          <w:tcPr>
            <w:tcBorders>
              <w:bottom w:val="single" w:sz="4" w:space="0" w:color="C4B7A6"/>
            </w:tcBorders>
          </w:tcPr>
          <w:p>
            <w:pPr>
              <w:pStyle w:val="Compact"/>
              <w:jc w:val="right"/>
            </w:pPr>
            <w:r>
              <w:rPr>
                <w:bCs/>
                <w:rFonts w:ascii="Georgia" w:hAnsi="Georgia"/>
                <w:b/>
                <w:color w:val="2E2A26"/>
                <w:sz w:val="19"/>
              </w:rPr>
              <w:t xml:space="preserve">16.2M</w:t>
            </w:r>
          </w:p>
        </w:tc>
        <w:tc>
          <w:tcPr>
            <w:tcBorders>
              <w:bottom w:val="single" w:sz="4" w:space="0" w:color="C4B7A6"/>
            </w:tcBorders>
          </w:tcPr>
          <w:p>
            <w:pPr>
              <w:pStyle w:val="Compact"/>
              <w:jc w:val="right"/>
            </w:pPr>
            <w:r>
              <w:rPr>
                <w:rFonts w:ascii="Georgia" w:hAnsi="Georgia"/>
                <w:color w:val="333333"/>
                <w:sz w:val="19"/>
              </w:rPr>
              <w:t xml:space="preserve">19.0M</w:t>
            </w:r>
          </w:p>
        </w:tc>
      </w:tr>
      <w:tr>
        <w:tc>
          <w:tcPr>
            <w:tcBorders>
              <w:bottom w:val="single" w:sz="4" w:space="0" w:color="C4B7A6"/>
            </w:tcBorders>
          </w:tcPr>
          <w:p>
            <w:pPr>
              <w:pStyle w:val="Compact"/>
              <w:jc w:val="left"/>
            </w:pPr>
            <w:r>
              <w:rPr>
                <w:rFonts w:ascii="Georgia" w:hAnsi="Georgia"/>
                <w:color w:val="333333"/>
                <w:sz w:val="19"/>
              </w:rPr>
              <w:t xml:space="preserve">Rockies Resources</w:t>
            </w:r>
          </w:p>
        </w:tc>
        <w:tc>
          <w:tcPr>
            <w:tcBorders>
              <w:bottom w:val="single" w:sz="4" w:space="0" w:color="C4B7A6"/>
            </w:tcBorders>
          </w:tcPr>
          <w:p>
            <w:pPr>
              <w:pStyle w:val="Compact"/>
              <w:jc w:val="right"/>
            </w:pPr>
            <w:r>
              <w:rPr>
                <w:rFonts w:ascii="Georgia" w:hAnsi="Georgia"/>
                <w:color w:val="333333"/>
                <w:sz w:val="19"/>
              </w:rPr>
              <w:t xml:space="preserve">13</w:t>
            </w:r>
          </w:p>
        </w:tc>
        <w:tc>
          <w:tcPr>
            <w:tcBorders>
              <w:bottom w:val="single" w:sz="4" w:space="0" w:color="C4B7A6"/>
            </w:tcBorders>
          </w:tcPr>
          <w:p>
            <w:pPr>
              <w:pStyle w:val="Compact"/>
              <w:jc w:val="right"/>
            </w:pPr>
            <w:r>
              <w:rPr>
                <w:rFonts w:ascii="Georgia" w:hAnsi="Georgia"/>
                <w:color w:val="333333"/>
                <w:sz w:val="19"/>
              </w:rPr>
              <w:t xml:space="preserve">4.8M</w:t>
            </w:r>
          </w:p>
        </w:tc>
        <w:tc>
          <w:tcPr>
            <w:tcBorders>
              <w:bottom w:val="single" w:sz="4" w:space="0" w:color="C4B7A6"/>
            </w:tcBorders>
          </w:tcPr>
          <w:p>
            <w:pPr>
              <w:pStyle w:val="Compact"/>
              <w:jc w:val="right"/>
            </w:pPr>
            <w:r>
              <w:rPr>
                <w:bCs/>
                <w:rFonts w:ascii="Georgia" w:hAnsi="Georgia"/>
                <w:b/>
                <w:color w:val="2E2A26"/>
                <w:sz w:val="19"/>
              </w:rPr>
              <w:t xml:space="preserve">5.2M</w:t>
            </w:r>
          </w:p>
        </w:tc>
        <w:tc>
          <w:tcPr>
            <w:tcBorders>
              <w:bottom w:val="single" w:sz="4" w:space="0" w:color="C4B7A6"/>
            </w:tcBorders>
          </w:tcPr>
          <w:p>
            <w:pPr>
              <w:pStyle w:val="Compact"/>
              <w:jc w:val="right"/>
            </w:pPr>
            <w:r>
              <w:rPr>
                <w:rFonts w:ascii="Georgia" w:hAnsi="Georgia"/>
                <w:color w:val="333333"/>
                <w:sz w:val="19"/>
              </w:rPr>
              <w:t xml:space="preserve">5.4M</w:t>
            </w:r>
          </w:p>
        </w:tc>
      </w:tr>
    </w:tbl>
    <w:p>
      <w:pPr>
        <w:pStyle w:val="BodyText"/>
      </w:pPr>
      <w:r>
        <w:t xml:space="preserve">Rockies Resources is not</w:t>
      </w:r>
      <w:r>
        <w:t xml:space="preserve"> </w:t>
      </w:r>
      <w:r>
        <w:t xml:space="preserve">“</w:t>
      </w:r>
      <w:r>
        <w:t xml:space="preserve">under-designed</w:t>
      </w:r>
      <w:r>
        <w:t xml:space="preserve">”</w:t>
      </w:r>
      <w:r>
        <w:t xml:space="preserve"> </w:t>
      </w:r>
      <w:r>
        <w:t xml:space="preserve">— its wells target the shallower Turner and Parkman benches (median TVD ≈ 6,100 ft versus 9,100–12,600 ft for the deep Niobrara/Frontier programs), so smaller jobs are geometry-appropriate. Anschutz’s position is different: on deep jobs comparable to Continental’s (TVD ≥ 10,000 ft), its 17.5M gal median runs</w:t>
      </w:r>
      <w:r>
        <w:t xml:space="preserve"> </w:t>
      </w:r>
      <w:r>
        <w:rPr>
          <w:bCs/>
          <w:b/>
          <w:color w:val="2E2A26"/>
        </w:rPr>
        <w:t xml:space="preserve">roughly 30% below Continental’s 25.6M</w:t>
      </w:r>
      <w:r>
        <w:t xml:space="preserve"> </w:t>
      </w:r>
      <w:r>
        <w:t xml:space="preserve">— on similar rock, with the most wells in the county.</w:t>
      </w:r>
    </w:p>
    <w:p>
      <w:pPr>
        <w:pStyle w:val="BodyText"/>
      </w:pPr>
      <w:r>
        <w:rPr>
          <w:bCs/>
          <w:b/>
          <w:color w:val="2E2A26"/>
        </w:rPr>
        <w:t xml:space="preserve">The trend is the story.</w:t>
      </w:r>
      <w:r>
        <w:t xml:space="preserve"> </w:t>
      </w:r>
      <w:r>
        <w:t xml:space="preserve">Countywide median by job-start year:</w:t>
      </w:r>
    </w:p>
    <w:tbl>
      <w:tblPr>
        <w:tblStyle w:val="Table"/>
        <w:tblW w:type="auto" w:w="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1980"/>
        <w:gridCol w:w="1980"/>
        <w:gridCol w:w="1980"/>
        <w:gridCol w:w="1980"/>
      </w:tblGrid>
      <w:tr>
        <w:trPr>
          <w:tblHeader w:val="true"/>
        </w:trPr>
        <w:tc>
          <w:tcPr>
            <w:tcBorders>
              <w:bottom w:val="single" w:sz="12" w:space="0" w:color="8B7355"/>
            </w:tcBorders>
          </w:tcPr>
          <w:p>
            <w:pPr>
              <w:pStyle w:val="Compact"/>
              <w:jc w:val="left"/>
            </w:pPr>
            <w:r>
              <w:rPr>
                <w:rFonts w:ascii="Georgia" w:hAnsi="Georgia"/>
                <w:b/>
                <w:color w:val="5C6E7F"/>
                <w:sz w:val="17"/>
                <w:spacing w:val="12"/>
              </w:rPr>
              <w:t>YEAR</w:t>
            </w:r>
          </w:p>
        </w:tc>
        <w:tc>
          <w:tcPr>
            <w:tcBorders>
              <w:bottom w:val="single" w:sz="12" w:space="0" w:color="8B7355"/>
            </w:tcBorders>
          </w:tcPr>
          <w:p>
            <w:pPr>
              <w:pStyle w:val="Compact"/>
              <w:jc w:val="right"/>
            </w:pPr>
            <w:r>
              <w:rPr>
                <w:rFonts w:ascii="Georgia" w:hAnsi="Georgia"/>
                <w:b/>
                <w:color w:val="5C6E7F"/>
                <w:sz w:val="17"/>
                <w:spacing w:val="12"/>
              </w:rPr>
              <w:t>JOBS</w:t>
            </w:r>
          </w:p>
        </w:tc>
        <w:tc>
          <w:tcPr>
            <w:tcBorders>
              <w:bottom w:val="single" w:sz="12" w:space="0" w:color="8B7355"/>
            </w:tcBorders>
          </w:tcPr>
          <w:p>
            <w:pPr>
              <w:pStyle w:val="Compact"/>
              <w:jc w:val="right"/>
            </w:pPr>
            <w:r>
              <w:rPr>
                <w:rFonts w:ascii="Georgia" w:hAnsi="Georgia"/>
                <w:b/>
                <w:color w:val="5C6E7F"/>
                <w:sz w:val="17"/>
                <w:spacing w:val="12"/>
              </w:rPr>
              <w:t>MEDIAN WATER (GAL)</w:t>
            </w:r>
          </w:p>
        </w:tc>
        <w:tc>
          <w:tcPr>
            <w:tcBorders>
              <w:bottom w:val="single" w:sz="12" w:space="0" w:color="8B7355"/>
            </w:tcBorders>
          </w:tcPr>
          <w:p>
            <w:pPr>
              <w:pStyle w:val="Compact"/>
              <w:jc w:val="right"/>
            </w:pPr>
            <w:r>
              <w:rPr>
                <w:rFonts w:ascii="Georgia" w:hAnsi="Georgia"/>
                <w:b/>
                <w:color w:val="5C6E7F"/>
                <w:sz w:val="17"/>
                <w:spacing w:val="12"/>
              </w:rPr>
              <w:t>VS 2023</w:t>
            </w:r>
          </w:p>
        </w:tc>
      </w:tr>
      <w:tr>
        <w:tc>
          <w:tcPr>
            <w:tcBorders>
              <w:bottom w:val="single" w:sz="4" w:space="0" w:color="C4B7A6"/>
            </w:tcBorders>
          </w:tcPr>
          <w:p>
            <w:pPr>
              <w:pStyle w:val="Compact"/>
              <w:jc w:val="left"/>
            </w:pPr>
            <w:r>
              <w:rPr>
                <w:rFonts w:ascii="Georgia" w:hAnsi="Georgia"/>
                <w:color w:val="333333"/>
                <w:sz w:val="19"/>
              </w:rPr>
              <w:t xml:space="preserve">2023</w:t>
            </w:r>
          </w:p>
        </w:tc>
        <w:tc>
          <w:tcPr>
            <w:tcBorders>
              <w:bottom w:val="single" w:sz="4" w:space="0" w:color="C4B7A6"/>
            </w:tcBorders>
          </w:tcPr>
          <w:p>
            <w:pPr>
              <w:pStyle w:val="Compact"/>
              <w:jc w:val="right"/>
            </w:pPr>
            <w:r>
              <w:rPr>
                <w:rFonts w:ascii="Georgia" w:hAnsi="Georgia"/>
                <w:color w:val="333333"/>
                <w:sz w:val="19"/>
              </w:rPr>
              <w:t xml:space="preserve">98</w:t>
            </w:r>
          </w:p>
        </w:tc>
        <w:tc>
          <w:tcPr>
            <w:tcBorders>
              <w:bottom w:val="single" w:sz="4" w:space="0" w:color="C4B7A6"/>
            </w:tcBorders>
          </w:tcPr>
          <w:p>
            <w:pPr>
              <w:pStyle w:val="Compact"/>
              <w:jc w:val="right"/>
            </w:pPr>
            <w:r>
              <w:rPr>
                <w:rFonts w:ascii="Georgia" w:hAnsi="Georgia"/>
                <w:color w:val="333333"/>
                <w:sz w:val="19"/>
              </w:rPr>
              <w:t xml:space="preserve">18.5M</w:t>
            </w:r>
          </w:p>
        </w:tc>
        <w:tc>
          <w:tcPr>
            <w:tcBorders>
              <w:bottom w:val="single" w:sz="4" w:space="0" w:color="C4B7A6"/>
            </w:tcBorders>
          </w:tcPr>
          <w:p>
            <w:pPr>
              <w:pStyle w:val="Compact"/>
              <w:jc w:val="right"/>
            </w:pPr>
            <w:r>
              <w:rPr>
                <w:rFonts w:ascii="Georgia" w:hAnsi="Georgia"/>
                <w:color w:val="333333"/>
                <w:sz w:val="19"/>
              </w:rPr>
              <w:t xml:space="preserve">—</w:t>
            </w:r>
          </w:p>
        </w:tc>
      </w:tr>
      <w:tr>
        <w:tc>
          <w:tcPr>
            <w:tcBorders>
              <w:bottom w:val="single" w:sz="4" w:space="0" w:color="C4B7A6"/>
            </w:tcBorders>
          </w:tcPr>
          <w:p>
            <w:pPr>
              <w:pStyle w:val="Compact"/>
              <w:jc w:val="left"/>
            </w:pPr>
            <w:r>
              <w:rPr>
                <w:rFonts w:ascii="Georgia" w:hAnsi="Georgia"/>
                <w:color w:val="333333"/>
                <w:sz w:val="19"/>
              </w:rPr>
              <w:t xml:space="preserve">2024</w:t>
            </w:r>
          </w:p>
        </w:tc>
        <w:tc>
          <w:tcPr>
            <w:tcBorders>
              <w:bottom w:val="single" w:sz="4" w:space="0" w:color="C4B7A6"/>
            </w:tcBorders>
          </w:tcPr>
          <w:p>
            <w:pPr>
              <w:pStyle w:val="Compact"/>
              <w:jc w:val="right"/>
            </w:pPr>
            <w:r>
              <w:rPr>
                <w:rFonts w:ascii="Georgia" w:hAnsi="Georgia"/>
                <w:color w:val="333333"/>
                <w:sz w:val="19"/>
              </w:rPr>
              <w:t xml:space="preserve">117</w:t>
            </w:r>
          </w:p>
        </w:tc>
        <w:tc>
          <w:tcPr>
            <w:tcBorders>
              <w:bottom w:val="single" w:sz="4" w:space="0" w:color="C4B7A6"/>
            </w:tcBorders>
          </w:tcPr>
          <w:p>
            <w:pPr>
              <w:pStyle w:val="Compact"/>
              <w:jc w:val="right"/>
            </w:pPr>
            <w:r>
              <w:rPr>
                <w:rFonts w:ascii="Georgia" w:hAnsi="Georgia"/>
                <w:color w:val="333333"/>
                <w:sz w:val="19"/>
              </w:rPr>
              <w:t xml:space="preserve">18.8M</w:t>
            </w:r>
          </w:p>
        </w:tc>
        <w:tc>
          <w:tcPr>
            <w:tcBorders>
              <w:bottom w:val="single" w:sz="4" w:space="0" w:color="C4B7A6"/>
            </w:tcBorders>
          </w:tcPr>
          <w:p>
            <w:pPr>
              <w:pStyle w:val="Compact"/>
              <w:jc w:val="right"/>
            </w:pPr>
            <w:r>
              <w:rPr>
                <w:rFonts w:ascii="Georgia" w:hAnsi="Georgia"/>
                <w:color w:val="333333"/>
                <w:sz w:val="19"/>
              </w:rPr>
              <w:t xml:space="preserve">+2%</w:t>
            </w:r>
          </w:p>
        </w:tc>
      </w:tr>
      <w:tr>
        <w:tc>
          <w:tcPr>
            <w:tcBorders>
              <w:bottom w:val="single" w:sz="4" w:space="0" w:color="C4B7A6"/>
            </w:tcBorders>
          </w:tcPr>
          <w:p>
            <w:pPr>
              <w:pStyle w:val="Compact"/>
              <w:jc w:val="left"/>
            </w:pPr>
            <w:r>
              <w:rPr>
                <w:rFonts w:ascii="Georgia" w:hAnsi="Georgia"/>
                <w:color w:val="333333"/>
                <w:sz w:val="19"/>
              </w:rPr>
              <w:t xml:space="preserve">2025</w:t>
            </w:r>
          </w:p>
        </w:tc>
        <w:tc>
          <w:tcPr>
            <w:tcBorders>
              <w:bottom w:val="single" w:sz="4" w:space="0" w:color="C4B7A6"/>
            </w:tcBorders>
          </w:tcPr>
          <w:p>
            <w:pPr>
              <w:pStyle w:val="Compact"/>
              <w:jc w:val="right"/>
            </w:pPr>
            <w:r>
              <w:rPr>
                <w:rFonts w:ascii="Georgia" w:hAnsi="Georgia"/>
                <w:color w:val="333333"/>
                <w:sz w:val="19"/>
              </w:rPr>
              <w:t xml:space="preserve">65</w:t>
            </w:r>
          </w:p>
        </w:tc>
        <w:tc>
          <w:tcPr>
            <w:tcBorders>
              <w:bottom w:val="single" w:sz="4" w:space="0" w:color="C4B7A6"/>
            </w:tcBorders>
          </w:tcPr>
          <w:p>
            <w:pPr>
              <w:pStyle w:val="Compact"/>
              <w:jc w:val="right"/>
            </w:pPr>
            <w:r>
              <w:rPr>
                <w:rFonts w:ascii="Georgia" w:hAnsi="Georgia"/>
                <w:color w:val="333333"/>
                <w:sz w:val="19"/>
              </w:rPr>
              <w:t xml:space="preserve">24.8M</w:t>
            </w:r>
          </w:p>
        </w:tc>
        <w:tc>
          <w:tcPr>
            <w:tcBorders>
              <w:bottom w:val="single" w:sz="4" w:space="0" w:color="C4B7A6"/>
            </w:tcBorders>
          </w:tcPr>
          <w:p>
            <w:pPr>
              <w:pStyle w:val="Compact"/>
              <w:jc w:val="right"/>
            </w:pPr>
            <w:r>
              <w:rPr>
                <w:bCs/>
                <w:rFonts w:ascii="Georgia" w:hAnsi="Georgia"/>
                <w:b/>
                <w:color w:val="2E2A26"/>
                <w:sz w:val="19"/>
              </w:rPr>
              <w:t xml:space="preserve">+34%</w:t>
            </w:r>
          </w:p>
        </w:tc>
      </w:tr>
      <w:tr>
        <w:tc>
          <w:tcPr>
            <w:tcBorders>
              <w:bottom w:val="single" w:sz="4" w:space="0" w:color="C4B7A6"/>
            </w:tcBorders>
          </w:tcPr>
          <w:p>
            <w:pPr>
              <w:pStyle w:val="Compact"/>
              <w:jc w:val="left"/>
            </w:pPr>
            <w:r>
              <w:rPr>
                <w:rFonts w:ascii="Georgia" w:hAnsi="Georgia"/>
                <w:color w:val="333333"/>
                <w:sz w:val="19"/>
              </w:rPr>
              <w:t xml:space="preserve">2026 YTD</w:t>
            </w:r>
          </w:p>
        </w:tc>
        <w:tc>
          <w:tcPr>
            <w:tcBorders>
              <w:bottom w:val="single" w:sz="4" w:space="0" w:color="C4B7A6"/>
            </w:tcBorders>
          </w:tcPr>
          <w:p>
            <w:pPr>
              <w:pStyle w:val="Compact"/>
              <w:jc w:val="right"/>
            </w:pPr>
            <w:r>
              <w:rPr>
                <w:rFonts w:ascii="Georgia" w:hAnsi="Georgia"/>
                <w:color w:val="333333"/>
                <w:sz w:val="19"/>
              </w:rPr>
              <w:t xml:space="preserve">25</w:t>
            </w:r>
          </w:p>
        </w:tc>
        <w:tc>
          <w:tcPr>
            <w:tcBorders>
              <w:bottom w:val="single" w:sz="4" w:space="0" w:color="C4B7A6"/>
            </w:tcBorders>
          </w:tcPr>
          <w:p>
            <w:pPr>
              <w:pStyle w:val="Compact"/>
              <w:jc w:val="right"/>
            </w:pPr>
            <w:r>
              <w:rPr>
                <w:rFonts w:ascii="Georgia" w:hAnsi="Georgia"/>
                <w:color w:val="333333"/>
                <w:sz w:val="19"/>
              </w:rPr>
              <w:t xml:space="preserve">19.6M</w:t>
            </w:r>
          </w:p>
        </w:tc>
        <w:tc>
          <w:tcPr>
            <w:tcBorders>
              <w:bottom w:val="single" w:sz="4" w:space="0" w:color="C4B7A6"/>
            </w:tcBorders>
          </w:tcPr>
          <w:p>
            <w:pPr>
              <w:pStyle w:val="Compact"/>
              <w:jc w:val="right"/>
            </w:pPr>
            <w:r>
              <w:rPr>
                <w:rFonts w:ascii="Georgia" w:hAnsi="Georgia"/>
                <w:color w:val="333333"/>
                <w:sz w:val="19"/>
              </w:rPr>
              <w:t xml:space="preserve">partial year</w:t>
            </w:r>
          </w:p>
        </w:tc>
      </w:tr>
    </w:tbl>
    <w:p>
      <w:pPr>
        <w:pStyle w:val="BodyText"/>
      </w:pPr>
      <w:r>
        <w:t xml:space="preserve">Big-operator trajectories (median gal): Continental 17.2M → 21.5M → 29.4M → 23.9M, up 71% from 2023 to 2025 — the county’s clearest escalation signal. Devon 18.6M → 27.9M → 27.9M → 17.7M (2026 YTD), stepping up +50% in 2024, holding through 2025, then tapering with its 2026 program. Anschutz is volatile: raw medians swing 17.0M → 7.1M → 11.9M → 17.5M, but its 2024 mix skewed shallow (44% of jobs under 10,000 ft TVD); depth-controlled, the series reads 17.5M → 18.3M → 12.5M → 17.5M — no sustained escalation. Oxy held near 20M through 2024, then tapered with its program (2025: 15.3M, n=6).</w:t>
      </w:r>
    </w:p>
    <w:p>
      <w:pPr>
        <w:pStyle w:val="BodyText"/>
      </w:pPr>
      <w:r>
        <w:rPr>
          <w:bCs/>
          <w:b/>
          <w:color w:val="2E2A26"/>
        </w:rPr>
        <w:t xml:space="preserve">What this tells a small operator:</w:t>
      </w:r>
      <w:r>
        <w:t xml:space="preserve"> </w:t>
      </w:r>
      <w:r>
        <w:t xml:space="preserve">the county median is a moving target and it moved up sharply in 2025. A 2023-vintage 17–18M gal design is now below the county median and near the bottom of the 2025 curve. If your AFE was templated from 2023 offsets, you are designing behind the curve before you ever pick up a blender.</w:t>
      </w:r>
    </w:p>
    <w:bookmarkEnd w:id="23"/>
    <w:bookmarkStart w:id="24" w:name="X4ec17a3ece0261488a9891915a94209d7bbb8b9"/>
    <w:p>
      <w:pPr>
        <w:pStyle w:val="Heading2"/>
      </w:pPr>
      <w:r>
        <w:rPr>
          <w:spacing w:val="24"/>
        </w:rPr>
        <w:t>3 · PROPPANT — WHAT THE DESIGNS ACTUALLY CARRY (AND A DATA TRAP)</w:t>
      </w:r>
    </w:p>
    <w:p>
      <w:pPr>
        <w:pStyle w:val="FirstParagraph"/>
      </w:pPr>
      <w:r>
        <w:t xml:space="preserve">Proppant is where public benchmarking usually goes wrong. The FracFocus</w:t>
      </w:r>
      <w:r>
        <w:t xml:space="preserve"> </w:t>
      </w:r>
      <w:r>
        <w:rPr>
          <w:bCs/>
          <w:b/>
          <w:color w:val="2E2A26"/>
        </w:rPr>
        <w:t xml:space="preserve">bulk CSV extract</w:t>
      </w:r>
      <w:r>
        <w:t xml:space="preserve"> </w:t>
      </w:r>
      <w:r>
        <w:t xml:space="preserve">blanks proppant quantity fields for entire operators — an analyst working only from that file would conclude Continental discloses nothing. The</w:t>
      </w:r>
      <w:r>
        <w:t xml:space="preserve"> </w:t>
      </w:r>
      <w:r>
        <w:rPr>
          <w:bCs/>
          <w:b/>
          <w:color w:val="2E2A26"/>
        </w:rPr>
        <w:t xml:space="preserve">live disclosure portal</w:t>
      </w:r>
      <w:r>
        <w:t xml:space="preserve"> </w:t>
      </w:r>
      <w:r>
        <w:t xml:space="preserve">tells the truth: proppant mass is available for 311 of 314 Converse jobs (99%) — reported directly for 304, derived from disclosed concentrations for 7 zero-water filings, and absent entirely for just 3 jobs.</w:t>
      </w:r>
      <w:fldSimple w:instr="NOTEREF _Ref_Footnote_5 \h \f">
        <w:r>
          <w:rPr>
            <w:vertAlign w:val="superscript"/>
          </w:rPr>
          <w:t>5</w:t>
        </w:r>
      </w:fldSimple>
      <w:r>
        <w:t xml:space="preserve"> </w:t>
      </w:r>
      <w:r>
        <w:t xml:space="preserve">This report is built on the portal-verified dataset, and the picture it shows is material:</w:t>
      </w:r>
    </w:p>
    <w:p>
      <w:pPr>
        <w:pStyle w:val="BodyText"/>
      </w:pPr>
      <w:r>
        <w:rPr>
          <w:bCs/>
          <w:b/>
          <w:color w:val="2E2A26"/>
        </w:rPr>
        <w:t xml:space="preserve">Median proppant per job, countywide:</w:t>
      </w:r>
    </w:p>
    <w:tbl>
      <w:tblPr>
        <w:tblStyle w:val="Table"/>
        <w:tblW w:type="auto" w:w="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1584"/>
        <w:gridCol w:w="1584"/>
        <w:gridCol w:w="1584"/>
        <w:gridCol w:w="1584"/>
        <w:gridCol w:w="1584"/>
      </w:tblGrid>
      <w:tr>
        <w:trPr>
          <w:tblHeader w:val="true"/>
        </w:trPr>
        <w:tc>
          <w:tcPr>
            <w:tcBorders>
              <w:bottom w:val="single" w:sz="12" w:space="0" w:color="8B7355"/>
            </w:tcBorders>
          </w:tcPr>
          <w:p>
            <w:pPr>
              <w:pStyle w:val="Compact"/>
              <w:jc w:val="left"/>
            </w:pPr>
            <w:r>
              <w:rPr>
                <w:rFonts w:ascii="Georgia" w:hAnsi="Georgia"/>
                <w:b/>
                <w:color w:val="5C6E7F"/>
                <w:sz w:val="17"/>
                <w:spacing w:val="12"/>
              </w:rPr>
              <w:t>YEAR</w:t>
            </w:r>
          </w:p>
        </w:tc>
        <w:tc>
          <w:tcPr>
            <w:tcBorders>
              <w:bottom w:val="single" w:sz="12" w:space="0" w:color="8B7355"/>
            </w:tcBorders>
          </w:tcPr>
          <w:p>
            <w:pPr>
              <w:pStyle w:val="Compact"/>
              <w:jc w:val="right"/>
            </w:pPr>
            <w:r>
              <w:rPr>
                <w:rFonts w:ascii="Georgia" w:hAnsi="Georgia"/>
                <w:b/>
                <w:color w:val="5C6E7F"/>
                <w:sz w:val="17"/>
                <w:spacing w:val="12"/>
              </w:rPr>
              <w:t>JOBS</w:t>
            </w:r>
          </w:p>
        </w:tc>
        <w:tc>
          <w:tcPr>
            <w:tcBorders>
              <w:bottom w:val="single" w:sz="12" w:space="0" w:color="8B7355"/>
            </w:tcBorders>
          </w:tcPr>
          <w:p>
            <w:pPr>
              <w:pStyle w:val="Compact"/>
              <w:jc w:val="right"/>
            </w:pPr>
            <w:r>
              <w:rPr>
                <w:rFonts w:ascii="Georgia" w:hAnsi="Georgia"/>
                <w:b/>
                <w:color w:val="5C6E7F"/>
                <w:sz w:val="17"/>
                <w:spacing w:val="12"/>
              </w:rPr>
              <w:t>MEDIAN PROPPANT (LBS)</w:t>
            </w:r>
          </w:p>
        </w:tc>
        <w:tc>
          <w:tcPr>
            <w:tcBorders>
              <w:bottom w:val="single" w:sz="12" w:space="0" w:color="8B7355"/>
            </w:tcBorders>
          </w:tcPr>
          <w:p>
            <w:pPr>
              <w:pStyle w:val="Compact"/>
              <w:jc w:val="right"/>
            </w:pPr>
            <w:r>
              <w:rPr>
                <w:rFonts w:ascii="Georgia" w:hAnsi="Georgia"/>
                <w:b/>
                <w:color w:val="5C6E7F"/>
                <w:sz w:val="17"/>
                <w:spacing w:val="12"/>
              </w:rPr>
              <w:t>VS 2023</w:t>
            </w:r>
          </w:p>
        </w:tc>
        <w:tc>
          <w:tcPr>
            <w:tcBorders>
              <w:bottom w:val="single" w:sz="12" w:space="0" w:color="8B7355"/>
            </w:tcBorders>
          </w:tcPr>
          <w:p>
            <w:pPr>
              <w:pStyle w:val="Compact"/>
              <w:jc w:val="right"/>
            </w:pPr>
            <w:r>
              <w:rPr>
                <w:rFonts w:ascii="Georgia" w:hAnsi="Georgia"/>
                <w:b/>
                <w:color w:val="5C6E7F"/>
                <w:sz w:val="17"/>
                <w:spacing w:val="12"/>
              </w:rPr>
              <w:t>MEDIAN LB/GAL</w:t>
            </w:r>
          </w:p>
        </w:tc>
      </w:tr>
      <w:tr>
        <w:tc>
          <w:tcPr>
            <w:tcBorders>
              <w:bottom w:val="single" w:sz="4" w:space="0" w:color="C4B7A6"/>
            </w:tcBorders>
          </w:tcPr>
          <w:p>
            <w:pPr>
              <w:pStyle w:val="Compact"/>
              <w:jc w:val="left"/>
            </w:pPr>
            <w:r>
              <w:rPr>
                <w:rFonts w:ascii="Georgia" w:hAnsi="Georgia"/>
                <w:color w:val="333333"/>
                <w:sz w:val="19"/>
              </w:rPr>
              <w:t xml:space="preserve">2023</w:t>
            </w:r>
          </w:p>
        </w:tc>
        <w:tc>
          <w:tcPr>
            <w:tcBorders>
              <w:bottom w:val="single" w:sz="4" w:space="0" w:color="C4B7A6"/>
            </w:tcBorders>
          </w:tcPr>
          <w:p>
            <w:pPr>
              <w:pStyle w:val="Compact"/>
              <w:jc w:val="right"/>
            </w:pPr>
            <w:r>
              <w:rPr>
                <w:rFonts w:ascii="Georgia" w:hAnsi="Georgia"/>
                <w:color w:val="333333"/>
                <w:sz w:val="19"/>
              </w:rPr>
              <w:t xml:space="preserve">107</w:t>
            </w:r>
          </w:p>
        </w:tc>
        <w:tc>
          <w:tcPr>
            <w:tcBorders>
              <w:bottom w:val="single" w:sz="4" w:space="0" w:color="C4B7A6"/>
            </w:tcBorders>
          </w:tcPr>
          <w:p>
            <w:pPr>
              <w:pStyle w:val="Compact"/>
              <w:jc w:val="right"/>
            </w:pPr>
            <w:r>
              <w:rPr>
                <w:rFonts w:ascii="Georgia" w:hAnsi="Georgia"/>
                <w:color w:val="333333"/>
                <w:sz w:val="19"/>
              </w:rPr>
              <w:t xml:space="preserve">20.2M</w:t>
            </w:r>
          </w:p>
        </w:tc>
        <w:tc>
          <w:tcPr>
            <w:tcBorders>
              <w:bottom w:val="single" w:sz="4" w:space="0" w:color="C4B7A6"/>
            </w:tcBorders>
          </w:tcPr>
          <w:p>
            <w:pPr>
              <w:pStyle w:val="Compact"/>
              <w:jc w:val="right"/>
            </w:pPr>
            <w:r>
              <w:rPr>
                <w:rFonts w:ascii="Georgia" w:hAnsi="Georgia"/>
                <w:color w:val="333333"/>
                <w:sz w:val="19"/>
              </w:rPr>
              <w:t xml:space="preserve">—</w:t>
            </w:r>
          </w:p>
        </w:tc>
        <w:tc>
          <w:tcPr>
            <w:tcBorders>
              <w:bottom w:val="single" w:sz="4" w:space="0" w:color="C4B7A6"/>
            </w:tcBorders>
          </w:tcPr>
          <w:p>
            <w:pPr>
              <w:pStyle w:val="Compact"/>
              <w:jc w:val="right"/>
            </w:pPr>
            <w:r>
              <w:rPr>
                <w:rFonts w:ascii="Georgia" w:hAnsi="Georgia"/>
                <w:color w:val="333333"/>
                <w:sz w:val="19"/>
              </w:rPr>
              <w:t xml:space="preserve">1.16</w:t>
            </w:r>
          </w:p>
        </w:tc>
      </w:tr>
      <w:tr>
        <w:tc>
          <w:tcPr>
            <w:tcBorders>
              <w:bottom w:val="single" w:sz="4" w:space="0" w:color="C4B7A6"/>
            </w:tcBorders>
          </w:tcPr>
          <w:p>
            <w:pPr>
              <w:pStyle w:val="Compact"/>
              <w:jc w:val="left"/>
            </w:pPr>
            <w:r>
              <w:rPr>
                <w:rFonts w:ascii="Georgia" w:hAnsi="Georgia"/>
                <w:color w:val="333333"/>
                <w:sz w:val="19"/>
              </w:rPr>
              <w:t xml:space="preserve">2024</w:t>
            </w:r>
          </w:p>
        </w:tc>
        <w:tc>
          <w:tcPr>
            <w:tcBorders>
              <w:bottom w:val="single" w:sz="4" w:space="0" w:color="C4B7A6"/>
            </w:tcBorders>
          </w:tcPr>
          <w:p>
            <w:pPr>
              <w:pStyle w:val="Compact"/>
              <w:jc w:val="right"/>
            </w:pPr>
            <w:r>
              <w:rPr>
                <w:rFonts w:ascii="Georgia" w:hAnsi="Georgia"/>
                <w:color w:val="333333"/>
                <w:sz w:val="19"/>
              </w:rPr>
              <w:t xml:space="preserve">117</w:t>
            </w:r>
          </w:p>
        </w:tc>
        <w:tc>
          <w:tcPr>
            <w:tcBorders>
              <w:bottom w:val="single" w:sz="4" w:space="0" w:color="C4B7A6"/>
            </w:tcBorders>
          </w:tcPr>
          <w:p>
            <w:pPr>
              <w:pStyle w:val="Compact"/>
              <w:jc w:val="right"/>
            </w:pPr>
            <w:r>
              <w:rPr>
                <w:rFonts w:ascii="Georgia" w:hAnsi="Georgia"/>
                <w:color w:val="333333"/>
                <w:sz w:val="19"/>
              </w:rPr>
              <w:t xml:space="preserve">27.1M</w:t>
            </w:r>
          </w:p>
        </w:tc>
        <w:tc>
          <w:tcPr>
            <w:tcBorders>
              <w:bottom w:val="single" w:sz="4" w:space="0" w:color="C4B7A6"/>
            </w:tcBorders>
          </w:tcPr>
          <w:p>
            <w:pPr>
              <w:pStyle w:val="Compact"/>
              <w:jc w:val="right"/>
            </w:pPr>
            <w:r>
              <w:rPr>
                <w:rFonts w:ascii="Georgia" w:hAnsi="Georgia"/>
                <w:color w:val="333333"/>
                <w:sz w:val="19"/>
              </w:rPr>
              <w:t xml:space="preserve">+34%</w:t>
            </w:r>
          </w:p>
        </w:tc>
        <w:tc>
          <w:tcPr>
            <w:tcBorders>
              <w:bottom w:val="single" w:sz="4" w:space="0" w:color="C4B7A6"/>
            </w:tcBorders>
          </w:tcPr>
          <w:p>
            <w:pPr>
              <w:pStyle w:val="Compact"/>
              <w:jc w:val="right"/>
            </w:pPr>
            <w:r>
              <w:rPr>
                <w:rFonts w:ascii="Georgia" w:hAnsi="Georgia"/>
                <w:color w:val="333333"/>
                <w:sz w:val="19"/>
              </w:rPr>
              <w:t xml:space="preserve">1.65</w:t>
            </w:r>
          </w:p>
        </w:tc>
      </w:tr>
      <w:tr>
        <w:tc>
          <w:tcPr>
            <w:tcBorders>
              <w:bottom w:val="single" w:sz="4" w:space="0" w:color="C4B7A6"/>
            </w:tcBorders>
          </w:tcPr>
          <w:p>
            <w:pPr>
              <w:pStyle w:val="Compact"/>
              <w:jc w:val="left"/>
            </w:pPr>
            <w:r>
              <w:rPr>
                <w:rFonts w:ascii="Georgia" w:hAnsi="Georgia"/>
                <w:color w:val="333333"/>
                <w:sz w:val="19"/>
              </w:rPr>
              <w:t xml:space="preserve">2025</w:t>
            </w:r>
          </w:p>
        </w:tc>
        <w:tc>
          <w:tcPr>
            <w:tcBorders>
              <w:bottom w:val="single" w:sz="4" w:space="0" w:color="C4B7A6"/>
            </w:tcBorders>
          </w:tcPr>
          <w:p>
            <w:pPr>
              <w:pStyle w:val="Compact"/>
              <w:jc w:val="right"/>
            </w:pPr>
            <w:r>
              <w:rPr>
                <w:rFonts w:ascii="Georgia" w:hAnsi="Georgia"/>
                <w:color w:val="333333"/>
                <w:sz w:val="19"/>
              </w:rPr>
              <w:t xml:space="preserve">65</w:t>
            </w:r>
          </w:p>
        </w:tc>
        <w:tc>
          <w:tcPr>
            <w:tcBorders>
              <w:bottom w:val="single" w:sz="4" w:space="0" w:color="C4B7A6"/>
            </w:tcBorders>
          </w:tcPr>
          <w:p>
            <w:pPr>
              <w:pStyle w:val="Compact"/>
              <w:jc w:val="right"/>
            </w:pPr>
            <w:r>
              <w:rPr>
                <w:rFonts w:ascii="Georgia" w:hAnsi="Georgia"/>
                <w:color w:val="333333"/>
                <w:sz w:val="19"/>
              </w:rPr>
              <w:t xml:space="preserve">38.1M</w:t>
            </w:r>
          </w:p>
        </w:tc>
        <w:tc>
          <w:tcPr>
            <w:tcBorders>
              <w:bottom w:val="single" w:sz="4" w:space="0" w:color="C4B7A6"/>
            </w:tcBorders>
          </w:tcPr>
          <w:p>
            <w:pPr>
              <w:pStyle w:val="Compact"/>
              <w:jc w:val="right"/>
            </w:pPr>
            <w:r>
              <w:rPr>
                <w:bCs/>
                <w:rFonts w:ascii="Georgia" w:hAnsi="Georgia"/>
                <w:b/>
                <w:color w:val="2E2A26"/>
                <w:sz w:val="19"/>
              </w:rPr>
              <w:t xml:space="preserve">+89%</w:t>
            </w:r>
          </w:p>
        </w:tc>
        <w:tc>
          <w:tcPr>
            <w:tcBorders>
              <w:bottom w:val="single" w:sz="4" w:space="0" w:color="C4B7A6"/>
            </w:tcBorders>
          </w:tcPr>
          <w:p>
            <w:pPr>
              <w:pStyle w:val="Compact"/>
              <w:jc w:val="right"/>
            </w:pPr>
            <w:r>
              <w:rPr>
                <w:rFonts w:ascii="Georgia" w:hAnsi="Georgia"/>
                <w:color w:val="333333"/>
                <w:sz w:val="19"/>
              </w:rPr>
              <w:t xml:space="preserve">1.61</w:t>
            </w:r>
          </w:p>
        </w:tc>
      </w:tr>
      <w:tr>
        <w:tc>
          <w:tcPr>
            <w:tcBorders>
              <w:bottom w:val="single" w:sz="4" w:space="0" w:color="C4B7A6"/>
            </w:tcBorders>
          </w:tcPr>
          <w:p>
            <w:pPr>
              <w:pStyle w:val="Compact"/>
              <w:jc w:val="left"/>
            </w:pPr>
            <w:r>
              <w:rPr>
                <w:rFonts w:ascii="Georgia" w:hAnsi="Georgia"/>
                <w:color w:val="333333"/>
                <w:sz w:val="19"/>
              </w:rPr>
              <w:t xml:space="preserve">2026 YTD</w:t>
            </w:r>
          </w:p>
        </w:tc>
        <w:tc>
          <w:tcPr>
            <w:tcBorders>
              <w:bottom w:val="single" w:sz="4" w:space="0" w:color="C4B7A6"/>
            </w:tcBorders>
          </w:tcPr>
          <w:p>
            <w:pPr>
              <w:pStyle w:val="Compact"/>
              <w:jc w:val="right"/>
            </w:pPr>
            <w:r>
              <w:rPr>
                <w:rFonts w:ascii="Georgia" w:hAnsi="Georgia"/>
                <w:color w:val="333333"/>
                <w:sz w:val="19"/>
              </w:rPr>
              <w:t xml:space="preserve">25</w:t>
            </w:r>
          </w:p>
        </w:tc>
        <w:tc>
          <w:tcPr>
            <w:tcBorders>
              <w:bottom w:val="single" w:sz="4" w:space="0" w:color="C4B7A6"/>
            </w:tcBorders>
          </w:tcPr>
          <w:p>
            <w:pPr>
              <w:pStyle w:val="Compact"/>
              <w:jc w:val="right"/>
            </w:pPr>
            <w:r>
              <w:rPr>
                <w:rFonts w:ascii="Georgia" w:hAnsi="Georgia"/>
                <w:color w:val="333333"/>
                <w:sz w:val="19"/>
              </w:rPr>
              <w:t xml:space="preserve">33.4M</w:t>
            </w:r>
          </w:p>
        </w:tc>
        <w:tc>
          <w:tcPr>
            <w:tcBorders>
              <w:bottom w:val="single" w:sz="4" w:space="0" w:color="C4B7A6"/>
            </w:tcBorders>
          </w:tcPr>
          <w:p>
            <w:pPr>
              <w:pStyle w:val="Compact"/>
              <w:jc w:val="right"/>
            </w:pPr>
            <w:r>
              <w:rPr>
                <w:rFonts w:ascii="Georgia" w:hAnsi="Georgia"/>
                <w:color w:val="333333"/>
                <w:sz w:val="19"/>
              </w:rPr>
              <w:t xml:space="preserve">partial year</w:t>
            </w:r>
          </w:p>
        </w:tc>
        <w:tc>
          <w:tcPr>
            <w:tcBorders>
              <w:bottom w:val="single" w:sz="4" w:space="0" w:color="C4B7A6"/>
            </w:tcBorders>
          </w:tcPr>
          <w:p>
            <w:pPr>
              <w:pStyle w:val="Compact"/>
              <w:jc w:val="right"/>
            </w:pPr>
            <w:r>
              <w:rPr>
                <w:rFonts w:ascii="Georgia" w:hAnsi="Georgia"/>
                <w:color w:val="333333"/>
                <w:sz w:val="19"/>
              </w:rPr>
              <w:t xml:space="preserve">1.66</w:t>
            </w:r>
          </w:p>
        </w:tc>
      </w:tr>
    </w:tbl>
    <w:p>
      <w:pPr>
        <w:pStyle w:val="BodyText"/>
      </w:pPr>
      <w:r>
        <w:rPr>
          <w:iCs/>
          <w:i/>
        </w:rPr>
        <w:t xml:space="preserve">Job counts include all jobs started in-year; medians are computed on reporting jobs only.</w:t>
      </w:r>
    </w:p>
    <w:p>
      <w:pPr>
        <w:pStyle w:val="BodyText"/>
      </w:pPr>
      <w:r>
        <w:rPr>
          <w:bCs/>
          <w:b/>
          <w:color w:val="2E2A26"/>
        </w:rPr>
        <w:t xml:space="preserve">Median proppant per job by operator (lbs):</w:t>
      </w:r>
    </w:p>
    <w:tbl>
      <w:tblPr>
        <w:tblStyle w:val="Table"/>
        <w:tblW w:type="auto" w:w="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1584"/>
        <w:gridCol w:w="1584"/>
        <w:gridCol w:w="1584"/>
        <w:gridCol w:w="1584"/>
        <w:gridCol w:w="1584"/>
      </w:tblGrid>
      <w:tr>
        <w:trPr>
          <w:tblHeader w:val="true"/>
        </w:trPr>
        <w:tc>
          <w:tcPr>
            <w:tcBorders>
              <w:bottom w:val="single" w:sz="12" w:space="0" w:color="8B7355"/>
            </w:tcBorders>
          </w:tcPr>
          <w:p>
            <w:pPr>
              <w:pStyle w:val="Compact"/>
              <w:jc w:val="left"/>
            </w:pPr>
            <w:r>
              <w:rPr>
                <w:rFonts w:ascii="Georgia" w:hAnsi="Georgia"/>
                <w:b/>
                <w:color w:val="5C6E7F"/>
                <w:sz w:val="17"/>
                <w:spacing w:val="12"/>
              </w:rPr>
              <w:t>OPERATOR</w:t>
            </w:r>
          </w:p>
        </w:tc>
        <w:tc>
          <w:tcPr>
            <w:tcBorders>
              <w:bottom w:val="single" w:sz="12" w:space="0" w:color="8B7355"/>
            </w:tcBorders>
          </w:tcPr>
          <w:p>
            <w:pPr>
              <w:pStyle w:val="Compact"/>
              <w:jc w:val="right"/>
            </w:pPr>
            <w:r>
              <w:rPr>
                <w:rFonts w:ascii="Georgia" w:hAnsi="Georgia"/>
                <w:b/>
                <w:color w:val="5C6E7F"/>
                <w:sz w:val="17"/>
                <w:spacing w:val="12"/>
              </w:rPr>
              <w:t>JOBS</w:t>
            </w:r>
          </w:p>
        </w:tc>
        <w:tc>
          <w:tcPr>
            <w:tcBorders>
              <w:bottom w:val="single" w:sz="12" w:space="0" w:color="8B7355"/>
            </w:tcBorders>
          </w:tcPr>
          <w:p>
            <w:pPr>
              <w:pStyle w:val="Compact"/>
              <w:jc w:val="right"/>
            </w:pPr>
            <w:r>
              <w:rPr>
                <w:rFonts w:ascii="Georgia" w:hAnsi="Georgia"/>
                <w:b/>
                <w:color w:val="5C6E7F"/>
                <w:sz w:val="17"/>
                <w:spacing w:val="12"/>
              </w:rPr>
              <w:t>P25</w:t>
            </w:r>
          </w:p>
        </w:tc>
        <w:tc>
          <w:tcPr>
            <w:tcBorders>
              <w:bottom w:val="single" w:sz="12" w:space="0" w:color="8B7355"/>
            </w:tcBorders>
          </w:tcPr>
          <w:p>
            <w:pPr>
              <w:pStyle w:val="Compact"/>
              <w:jc w:val="right"/>
            </w:pPr>
            <w:r>
              <w:rPr>
                <w:rFonts w:ascii="Georgia" w:hAnsi="Georgia"/>
                <w:b/>
                <w:color w:val="5C6E7F"/>
                <w:sz w:val="17"/>
                <w:spacing w:val="12"/>
              </w:rPr>
              <w:t>MEDIAN</w:t>
            </w:r>
          </w:p>
        </w:tc>
        <w:tc>
          <w:tcPr>
            <w:tcBorders>
              <w:bottom w:val="single" w:sz="12" w:space="0" w:color="8B7355"/>
            </w:tcBorders>
          </w:tcPr>
          <w:p>
            <w:pPr>
              <w:pStyle w:val="Compact"/>
              <w:jc w:val="right"/>
            </w:pPr>
            <w:r>
              <w:rPr>
                <w:rFonts w:ascii="Georgia" w:hAnsi="Georgia"/>
                <w:b/>
                <w:color w:val="5C6E7F"/>
                <w:sz w:val="17"/>
                <w:spacing w:val="12"/>
              </w:rPr>
              <w:t>P75</w:t>
            </w:r>
          </w:p>
        </w:tc>
      </w:tr>
      <w:tr>
        <w:tc>
          <w:tcPr>
            <w:tcBorders>
              <w:bottom w:val="single" w:sz="4" w:space="0" w:color="C4B7A6"/>
            </w:tcBorders>
          </w:tcPr>
          <w:p>
            <w:pPr>
              <w:pStyle w:val="Compact"/>
              <w:jc w:val="left"/>
            </w:pPr>
            <w:r>
              <w:rPr>
                <w:rFonts w:ascii="Georgia" w:hAnsi="Georgia"/>
                <w:color w:val="333333"/>
                <w:sz w:val="19"/>
              </w:rPr>
              <w:t xml:space="preserve">Devon Energy</w:t>
            </w:r>
          </w:p>
        </w:tc>
        <w:tc>
          <w:tcPr>
            <w:tcBorders>
              <w:bottom w:val="single" w:sz="4" w:space="0" w:color="C4B7A6"/>
            </w:tcBorders>
          </w:tcPr>
          <w:p>
            <w:pPr>
              <w:pStyle w:val="Compact"/>
              <w:jc w:val="right"/>
            </w:pPr>
            <w:r>
              <w:rPr>
                <w:rFonts w:ascii="Georgia" w:hAnsi="Georgia"/>
                <w:color w:val="333333"/>
                <w:sz w:val="19"/>
              </w:rPr>
              <w:t xml:space="preserve">49</w:t>
            </w:r>
          </w:p>
        </w:tc>
        <w:tc>
          <w:tcPr>
            <w:tcBorders>
              <w:bottom w:val="single" w:sz="4" w:space="0" w:color="C4B7A6"/>
            </w:tcBorders>
          </w:tcPr>
          <w:p>
            <w:pPr>
              <w:pStyle w:val="Compact"/>
              <w:jc w:val="right"/>
            </w:pPr>
            <w:r>
              <w:rPr>
                <w:rFonts w:ascii="Georgia" w:hAnsi="Georgia"/>
                <w:color w:val="333333"/>
                <w:sz w:val="19"/>
              </w:rPr>
              <w:t xml:space="preserve">25.1M</w:t>
            </w:r>
          </w:p>
        </w:tc>
        <w:tc>
          <w:tcPr>
            <w:tcBorders>
              <w:bottom w:val="single" w:sz="4" w:space="0" w:color="C4B7A6"/>
            </w:tcBorders>
          </w:tcPr>
          <w:p>
            <w:pPr>
              <w:pStyle w:val="Compact"/>
              <w:jc w:val="right"/>
            </w:pPr>
            <w:r>
              <w:rPr>
                <w:bCs/>
                <w:rFonts w:ascii="Georgia" w:hAnsi="Georgia"/>
                <w:b/>
                <w:color w:val="2E2A26"/>
                <w:sz w:val="19"/>
              </w:rPr>
              <w:t xml:space="preserve">37.7M</w:t>
            </w:r>
          </w:p>
        </w:tc>
        <w:tc>
          <w:tcPr>
            <w:tcBorders>
              <w:bottom w:val="single" w:sz="4" w:space="0" w:color="C4B7A6"/>
            </w:tcBorders>
          </w:tcPr>
          <w:p>
            <w:pPr>
              <w:pStyle w:val="Compact"/>
              <w:jc w:val="right"/>
            </w:pPr>
            <w:r>
              <w:rPr>
                <w:rFonts w:ascii="Georgia" w:hAnsi="Georgia"/>
                <w:color w:val="333333"/>
                <w:sz w:val="19"/>
              </w:rPr>
              <w:t xml:space="preserve">45.1M</w:t>
            </w:r>
          </w:p>
        </w:tc>
      </w:tr>
      <w:tr>
        <w:tc>
          <w:tcPr>
            <w:tcBorders>
              <w:bottom w:val="single" w:sz="4" w:space="0" w:color="C4B7A6"/>
            </w:tcBorders>
          </w:tcPr>
          <w:p>
            <w:pPr>
              <w:pStyle w:val="Compact"/>
              <w:jc w:val="left"/>
            </w:pPr>
            <w:r>
              <w:rPr>
                <w:rFonts w:ascii="Georgia" w:hAnsi="Georgia"/>
                <w:color w:val="333333"/>
                <w:sz w:val="19"/>
              </w:rPr>
              <w:t xml:space="preserve">Continental</w:t>
            </w:r>
          </w:p>
        </w:tc>
        <w:tc>
          <w:tcPr>
            <w:tcBorders>
              <w:bottom w:val="single" w:sz="4" w:space="0" w:color="C4B7A6"/>
            </w:tcBorders>
          </w:tcPr>
          <w:p>
            <w:pPr>
              <w:pStyle w:val="Compact"/>
              <w:jc w:val="right"/>
            </w:pPr>
            <w:r>
              <w:rPr>
                <w:rFonts w:ascii="Georgia" w:hAnsi="Georgia"/>
                <w:color w:val="333333"/>
                <w:sz w:val="19"/>
              </w:rPr>
              <w:t xml:space="preserve">83</w:t>
            </w:r>
          </w:p>
        </w:tc>
        <w:tc>
          <w:tcPr>
            <w:tcBorders>
              <w:bottom w:val="single" w:sz="4" w:space="0" w:color="C4B7A6"/>
            </w:tcBorders>
          </w:tcPr>
          <w:p>
            <w:pPr>
              <w:pStyle w:val="Compact"/>
              <w:jc w:val="right"/>
            </w:pPr>
            <w:r>
              <w:rPr>
                <w:rFonts w:ascii="Georgia" w:hAnsi="Georgia"/>
                <w:color w:val="333333"/>
                <w:sz w:val="19"/>
              </w:rPr>
              <w:t xml:space="preserve">19.8M</w:t>
            </w:r>
          </w:p>
        </w:tc>
        <w:tc>
          <w:tcPr>
            <w:tcBorders>
              <w:bottom w:val="single" w:sz="4" w:space="0" w:color="C4B7A6"/>
            </w:tcBorders>
          </w:tcPr>
          <w:p>
            <w:pPr>
              <w:pStyle w:val="Compact"/>
              <w:jc w:val="right"/>
            </w:pPr>
            <w:r>
              <w:rPr>
                <w:bCs/>
                <w:rFonts w:ascii="Georgia" w:hAnsi="Georgia"/>
                <w:b/>
                <w:color w:val="2E2A26"/>
                <w:sz w:val="19"/>
              </w:rPr>
              <w:t xml:space="preserve">31.8M</w:t>
            </w:r>
          </w:p>
        </w:tc>
        <w:tc>
          <w:tcPr>
            <w:tcBorders>
              <w:bottom w:val="single" w:sz="4" w:space="0" w:color="C4B7A6"/>
            </w:tcBorders>
          </w:tcPr>
          <w:p>
            <w:pPr>
              <w:pStyle w:val="Compact"/>
              <w:jc w:val="right"/>
            </w:pPr>
            <w:r>
              <w:rPr>
                <w:rFonts w:ascii="Georgia" w:hAnsi="Georgia"/>
                <w:color w:val="333333"/>
                <w:sz w:val="19"/>
              </w:rPr>
              <w:t xml:space="preserve">52.7M</w:t>
            </w:r>
          </w:p>
        </w:tc>
      </w:tr>
      <w:tr>
        <w:tc>
          <w:tcPr>
            <w:tcBorders>
              <w:bottom w:val="single" w:sz="4" w:space="0" w:color="C4B7A6"/>
            </w:tcBorders>
          </w:tcPr>
          <w:p>
            <w:pPr>
              <w:pStyle w:val="Compact"/>
              <w:jc w:val="left"/>
            </w:pPr>
            <w:r>
              <w:rPr>
                <w:rFonts w:ascii="Georgia" w:hAnsi="Georgia"/>
                <w:color w:val="333333"/>
                <w:sz w:val="19"/>
              </w:rPr>
              <w:t xml:space="preserve">1876 Resources</w:t>
            </w:r>
          </w:p>
        </w:tc>
        <w:tc>
          <w:tcPr>
            <w:tcBorders>
              <w:bottom w:val="single" w:sz="4" w:space="0" w:color="C4B7A6"/>
            </w:tcBorders>
          </w:tcPr>
          <w:p>
            <w:pPr>
              <w:pStyle w:val="Compact"/>
              <w:jc w:val="right"/>
            </w:pPr>
            <w:r>
              <w:rPr>
                <w:rFonts w:ascii="Georgia" w:hAnsi="Georgia"/>
                <w:color w:val="333333"/>
                <w:sz w:val="19"/>
              </w:rPr>
              <w:t xml:space="preserve">29</w:t>
            </w:r>
          </w:p>
        </w:tc>
        <w:tc>
          <w:tcPr>
            <w:tcBorders>
              <w:bottom w:val="single" w:sz="4" w:space="0" w:color="C4B7A6"/>
            </w:tcBorders>
          </w:tcPr>
          <w:p>
            <w:pPr>
              <w:pStyle w:val="Compact"/>
              <w:jc w:val="right"/>
            </w:pPr>
            <w:r>
              <w:rPr>
                <w:rFonts w:ascii="Georgia" w:hAnsi="Georgia"/>
                <w:color w:val="333333"/>
                <w:sz w:val="19"/>
              </w:rPr>
              <w:t xml:space="preserve">26.7M</w:t>
            </w:r>
          </w:p>
        </w:tc>
        <w:tc>
          <w:tcPr>
            <w:tcBorders>
              <w:bottom w:val="single" w:sz="4" w:space="0" w:color="C4B7A6"/>
            </w:tcBorders>
          </w:tcPr>
          <w:p>
            <w:pPr>
              <w:pStyle w:val="Compact"/>
              <w:jc w:val="right"/>
            </w:pPr>
            <w:r>
              <w:rPr>
                <w:bCs/>
                <w:rFonts w:ascii="Georgia" w:hAnsi="Georgia"/>
                <w:b/>
                <w:color w:val="2E2A26"/>
                <w:sz w:val="19"/>
              </w:rPr>
              <w:t xml:space="preserve">31.1M</w:t>
            </w:r>
          </w:p>
        </w:tc>
        <w:tc>
          <w:tcPr>
            <w:tcBorders>
              <w:bottom w:val="single" w:sz="4" w:space="0" w:color="C4B7A6"/>
            </w:tcBorders>
          </w:tcPr>
          <w:p>
            <w:pPr>
              <w:pStyle w:val="Compact"/>
              <w:jc w:val="right"/>
            </w:pPr>
            <w:r>
              <w:rPr>
                <w:rFonts w:ascii="Georgia" w:hAnsi="Georgia"/>
                <w:color w:val="333333"/>
                <w:sz w:val="19"/>
              </w:rPr>
              <w:t xml:space="preserve">33.4M</w:t>
            </w:r>
          </w:p>
        </w:tc>
      </w:tr>
      <w:tr>
        <w:tc>
          <w:tcPr>
            <w:tcBorders>
              <w:bottom w:val="single" w:sz="4" w:space="0" w:color="C4B7A6"/>
            </w:tcBorders>
          </w:tcPr>
          <w:p>
            <w:pPr>
              <w:pStyle w:val="Compact"/>
              <w:jc w:val="left"/>
            </w:pPr>
            <w:r>
              <w:rPr>
                <w:rFonts w:ascii="Georgia" w:hAnsi="Georgia"/>
                <w:color w:val="333333"/>
                <w:sz w:val="19"/>
              </w:rPr>
              <w:t xml:space="preserve">Bright Rock</w:t>
            </w:r>
          </w:p>
        </w:tc>
        <w:tc>
          <w:tcPr>
            <w:tcBorders>
              <w:bottom w:val="single" w:sz="4" w:space="0" w:color="C4B7A6"/>
            </w:tcBorders>
          </w:tcPr>
          <w:p>
            <w:pPr>
              <w:pStyle w:val="Compact"/>
              <w:jc w:val="right"/>
            </w:pPr>
            <w:r>
              <w:rPr>
                <w:rFonts w:ascii="Georgia" w:hAnsi="Georgia"/>
                <w:color w:val="333333"/>
                <w:sz w:val="19"/>
              </w:rPr>
              <w:t xml:space="preserve">3</w:t>
            </w:r>
          </w:p>
        </w:tc>
        <w:tc>
          <w:tcPr>
            <w:tcBorders>
              <w:bottom w:val="single" w:sz="4" w:space="0" w:color="C4B7A6"/>
            </w:tcBorders>
          </w:tcPr>
          <w:p>
            <w:pPr>
              <w:pStyle w:val="Compact"/>
              <w:jc w:val="right"/>
            </w:pPr>
            <w:r>
              <w:rPr>
                <w:rFonts w:ascii="Georgia" w:hAnsi="Georgia"/>
                <w:color w:val="333333"/>
                <w:sz w:val="19"/>
              </w:rPr>
              <w:t xml:space="preserve">—</w:t>
            </w:r>
          </w:p>
        </w:tc>
        <w:tc>
          <w:tcPr>
            <w:tcBorders>
              <w:bottom w:val="single" w:sz="4" w:space="0" w:color="C4B7A6"/>
            </w:tcBorders>
          </w:tcPr>
          <w:p>
            <w:pPr>
              <w:pStyle w:val="Compact"/>
              <w:jc w:val="right"/>
            </w:pPr>
            <w:r>
              <w:rPr>
                <w:rFonts w:ascii="Georgia" w:hAnsi="Georgia"/>
                <w:color w:val="333333"/>
                <w:sz w:val="19"/>
              </w:rPr>
              <w:t xml:space="preserve">27.7M</w:t>
            </w:r>
          </w:p>
        </w:tc>
        <w:tc>
          <w:tcPr>
            <w:tcBorders>
              <w:bottom w:val="single" w:sz="4" w:space="0" w:color="C4B7A6"/>
            </w:tcBorders>
          </w:tcPr>
          <w:p>
            <w:pPr>
              <w:pStyle w:val="Compact"/>
              <w:jc w:val="right"/>
            </w:pPr>
            <w:r>
              <w:rPr>
                <w:rFonts w:ascii="Georgia" w:hAnsi="Georgia"/>
                <w:color w:val="333333"/>
                <w:sz w:val="19"/>
              </w:rPr>
              <w:t xml:space="preserve">—</w:t>
            </w:r>
          </w:p>
        </w:tc>
      </w:tr>
      <w:tr>
        <w:tc>
          <w:tcPr>
            <w:tcBorders>
              <w:bottom w:val="single" w:sz="4" w:space="0" w:color="C4B7A6"/>
            </w:tcBorders>
          </w:tcPr>
          <w:p>
            <w:pPr>
              <w:pStyle w:val="Compact"/>
              <w:jc w:val="left"/>
            </w:pPr>
            <w:r>
              <w:rPr>
                <w:rFonts w:ascii="Georgia" w:hAnsi="Georgia"/>
                <w:color w:val="333333"/>
                <w:sz w:val="19"/>
              </w:rPr>
              <w:t xml:space="preserve">Oxy</w:t>
            </w:r>
          </w:p>
        </w:tc>
        <w:tc>
          <w:tcPr>
            <w:tcBorders>
              <w:bottom w:val="single" w:sz="4" w:space="0" w:color="C4B7A6"/>
            </w:tcBorders>
          </w:tcPr>
          <w:p>
            <w:pPr>
              <w:pStyle w:val="Compact"/>
              <w:jc w:val="right"/>
            </w:pPr>
            <w:r>
              <w:rPr>
                <w:rFonts w:ascii="Georgia" w:hAnsi="Georgia"/>
                <w:color w:val="333333"/>
                <w:sz w:val="19"/>
              </w:rPr>
              <w:t xml:space="preserve">44</w:t>
            </w:r>
          </w:p>
        </w:tc>
        <w:tc>
          <w:tcPr>
            <w:tcBorders>
              <w:bottom w:val="single" w:sz="4" w:space="0" w:color="C4B7A6"/>
            </w:tcBorders>
          </w:tcPr>
          <w:p>
            <w:pPr>
              <w:pStyle w:val="Compact"/>
              <w:jc w:val="right"/>
            </w:pPr>
            <w:r>
              <w:rPr>
                <w:rFonts w:ascii="Georgia" w:hAnsi="Georgia"/>
                <w:color w:val="333333"/>
                <w:sz w:val="19"/>
              </w:rPr>
              <w:t xml:space="preserve">11.2M</w:t>
            </w:r>
          </w:p>
        </w:tc>
        <w:tc>
          <w:tcPr>
            <w:tcBorders>
              <w:bottom w:val="single" w:sz="4" w:space="0" w:color="C4B7A6"/>
            </w:tcBorders>
          </w:tcPr>
          <w:p>
            <w:pPr>
              <w:pStyle w:val="Compact"/>
              <w:jc w:val="right"/>
            </w:pPr>
            <w:r>
              <w:rPr>
                <w:bCs/>
                <w:rFonts w:ascii="Georgia" w:hAnsi="Georgia"/>
                <w:b/>
                <w:color w:val="2E2A26"/>
                <w:sz w:val="19"/>
              </w:rPr>
              <w:t xml:space="preserve">23.4M</w:t>
            </w:r>
          </w:p>
        </w:tc>
        <w:tc>
          <w:tcPr>
            <w:tcBorders>
              <w:bottom w:val="single" w:sz="4" w:space="0" w:color="C4B7A6"/>
            </w:tcBorders>
          </w:tcPr>
          <w:p>
            <w:pPr>
              <w:pStyle w:val="Compact"/>
              <w:jc w:val="right"/>
            </w:pPr>
            <w:r>
              <w:rPr>
                <w:rFonts w:ascii="Georgia" w:hAnsi="Georgia"/>
                <w:color w:val="333333"/>
                <w:sz w:val="19"/>
              </w:rPr>
              <w:t xml:space="preserve">27.6M</w:t>
            </w:r>
          </w:p>
        </w:tc>
      </w:tr>
      <w:tr>
        <w:tc>
          <w:tcPr>
            <w:tcBorders>
              <w:bottom w:val="single" w:sz="4" w:space="0" w:color="C4B7A6"/>
            </w:tcBorders>
          </w:tcPr>
          <w:p>
            <w:pPr>
              <w:pStyle w:val="Compact"/>
              <w:jc w:val="left"/>
            </w:pPr>
            <w:r>
              <w:rPr>
                <w:rFonts w:ascii="Georgia" w:hAnsi="Georgia"/>
                <w:color w:val="333333"/>
                <w:sz w:val="19"/>
              </w:rPr>
              <w:t xml:space="preserve">Anschutz</w:t>
            </w:r>
          </w:p>
        </w:tc>
        <w:tc>
          <w:tcPr>
            <w:tcBorders>
              <w:bottom w:val="single" w:sz="4" w:space="0" w:color="C4B7A6"/>
            </w:tcBorders>
          </w:tcPr>
          <w:p>
            <w:pPr>
              <w:pStyle w:val="Compact"/>
              <w:jc w:val="right"/>
            </w:pPr>
            <w:r>
              <w:rPr>
                <w:rFonts w:ascii="Georgia" w:hAnsi="Georgia"/>
                <w:color w:val="333333"/>
                <w:sz w:val="19"/>
              </w:rPr>
              <w:t xml:space="preserve">83</w:t>
            </w:r>
          </w:p>
        </w:tc>
        <w:tc>
          <w:tcPr>
            <w:tcBorders>
              <w:bottom w:val="single" w:sz="4" w:space="0" w:color="C4B7A6"/>
            </w:tcBorders>
          </w:tcPr>
          <w:p>
            <w:pPr>
              <w:pStyle w:val="Compact"/>
              <w:jc w:val="right"/>
            </w:pPr>
            <w:r>
              <w:rPr>
                <w:rFonts w:ascii="Georgia" w:hAnsi="Georgia"/>
                <w:color w:val="333333"/>
                <w:sz w:val="19"/>
              </w:rPr>
              <w:t xml:space="preserve">11.9M</w:t>
            </w:r>
          </w:p>
        </w:tc>
        <w:tc>
          <w:tcPr>
            <w:tcBorders>
              <w:bottom w:val="single" w:sz="4" w:space="0" w:color="C4B7A6"/>
            </w:tcBorders>
          </w:tcPr>
          <w:p>
            <w:pPr>
              <w:pStyle w:val="Compact"/>
              <w:jc w:val="right"/>
            </w:pPr>
            <w:r>
              <w:rPr>
                <w:bCs/>
                <w:rFonts w:ascii="Georgia" w:hAnsi="Georgia"/>
                <w:b/>
                <w:color w:val="2E2A26"/>
                <w:sz w:val="19"/>
              </w:rPr>
              <w:t xml:space="preserve">20.2M</w:t>
            </w:r>
          </w:p>
        </w:tc>
        <w:tc>
          <w:tcPr>
            <w:tcBorders>
              <w:bottom w:val="single" w:sz="4" w:space="0" w:color="C4B7A6"/>
            </w:tcBorders>
          </w:tcPr>
          <w:p>
            <w:pPr>
              <w:pStyle w:val="Compact"/>
              <w:jc w:val="right"/>
            </w:pPr>
            <w:r>
              <w:rPr>
                <w:rFonts w:ascii="Georgia" w:hAnsi="Georgia"/>
                <w:color w:val="333333"/>
                <w:sz w:val="19"/>
              </w:rPr>
              <w:t xml:space="preserve">24.7M</w:t>
            </w:r>
          </w:p>
        </w:tc>
      </w:tr>
      <w:tr>
        <w:tc>
          <w:tcPr>
            <w:tcBorders>
              <w:bottom w:val="single" w:sz="4" w:space="0" w:color="C4B7A6"/>
            </w:tcBorders>
          </w:tcPr>
          <w:p>
            <w:pPr>
              <w:pStyle w:val="Compact"/>
              <w:jc w:val="left"/>
            </w:pPr>
            <w:r>
              <w:rPr>
                <w:rFonts w:ascii="Georgia" w:hAnsi="Georgia"/>
                <w:color w:val="333333"/>
                <w:sz w:val="19"/>
              </w:rPr>
              <w:t xml:space="preserve">Rockies Resources</w:t>
            </w:r>
          </w:p>
        </w:tc>
        <w:tc>
          <w:tcPr>
            <w:tcBorders>
              <w:bottom w:val="single" w:sz="4" w:space="0" w:color="C4B7A6"/>
            </w:tcBorders>
          </w:tcPr>
          <w:p>
            <w:pPr>
              <w:pStyle w:val="Compact"/>
              <w:jc w:val="right"/>
            </w:pPr>
            <w:r>
              <w:rPr>
                <w:rFonts w:ascii="Georgia" w:hAnsi="Georgia"/>
                <w:color w:val="333333"/>
                <w:sz w:val="19"/>
              </w:rPr>
              <w:t xml:space="preserve">13</w:t>
            </w:r>
          </w:p>
        </w:tc>
        <w:tc>
          <w:tcPr>
            <w:tcBorders>
              <w:bottom w:val="single" w:sz="4" w:space="0" w:color="C4B7A6"/>
            </w:tcBorders>
          </w:tcPr>
          <w:p>
            <w:pPr>
              <w:pStyle w:val="Compact"/>
              <w:jc w:val="right"/>
            </w:pPr>
            <w:r>
              <w:rPr>
                <w:rFonts w:ascii="Georgia" w:hAnsi="Georgia"/>
                <w:color w:val="333333"/>
                <w:sz w:val="19"/>
              </w:rPr>
              <w:t xml:space="preserve">—</w:t>
            </w:r>
          </w:p>
        </w:tc>
        <w:tc>
          <w:tcPr>
            <w:tcBorders>
              <w:bottom w:val="single" w:sz="4" w:space="0" w:color="C4B7A6"/>
            </w:tcBorders>
          </w:tcPr>
          <w:p>
            <w:pPr>
              <w:pStyle w:val="Compact"/>
              <w:jc w:val="right"/>
            </w:pPr>
            <w:r>
              <w:rPr>
                <w:rFonts w:ascii="Georgia" w:hAnsi="Georgia"/>
                <w:color w:val="333333"/>
                <w:sz w:val="19"/>
              </w:rPr>
              <w:t xml:space="preserve">9.7M</w:t>
            </w:r>
          </w:p>
        </w:tc>
        <w:tc>
          <w:tcPr>
            <w:tcBorders>
              <w:bottom w:val="single" w:sz="4" w:space="0" w:color="C4B7A6"/>
            </w:tcBorders>
          </w:tcPr>
          <w:p>
            <w:pPr>
              <w:pStyle w:val="Compact"/>
              <w:jc w:val="right"/>
            </w:pPr>
            <w:r>
              <w:rPr>
                <w:rFonts w:ascii="Georgia" w:hAnsi="Georgia"/>
                <w:color w:val="333333"/>
                <w:sz w:val="19"/>
              </w:rPr>
              <w:t xml:space="preserve">—</w:t>
            </w:r>
          </w:p>
        </w:tc>
      </w:tr>
    </w:tbl>
    <w:p>
      <w:pPr>
        <w:pStyle w:val="BodyText"/>
      </w:pPr>
      <w:r>
        <w:t xml:space="preserve">Three readings:</w:t>
      </w:r>
    </w:p>
    <w:p>
      <w:pPr>
        <w:numPr>
          <w:ilvl w:val="0"/>
          <w:numId w:val="1004"/>
        </w:numPr>
        <w:pStyle w:val="Compact"/>
      </w:pPr>
      <w:r>
        <w:rPr>
          <w:bCs/>
          <w:b/>
          <w:color w:val="2E2A26"/>
        </w:rPr>
        <w:t xml:space="preserve">The proppant race is outrunning the fluid race.</w:t>
      </w:r>
      <w:r>
        <w:t xml:space="preserve"> </w:t>
      </w:r>
      <w:r>
        <w:t xml:space="preserve">Countywide median proppant is up +89% since 2023 versus +34% for water — operators are concentrating more sand into the fluid they pump (countywide intensity stepped from 1.16 lb/gal in 2023 to ~1.65 from 2024 onward and has held).</w:t>
      </w:r>
    </w:p>
    <w:p>
      <w:pPr>
        <w:numPr>
          <w:ilvl w:val="0"/>
          <w:numId w:val="1004"/>
        </w:numPr>
        <w:pStyle w:val="Compact"/>
      </w:pPr>
      <w:r>
        <w:rPr>
          <w:bCs/>
          <w:b/>
          <w:color w:val="2E2A26"/>
        </w:rPr>
        <w:t xml:space="preserve">Continental’s escalation is the most aggressive in the county</w:t>
      </w:r>
      <w:r>
        <w:t xml:space="preserve">: its median job grew 16.8M lbs (2023) → 31.8M (2024) →</w:t>
      </w:r>
      <w:r>
        <w:t xml:space="preserve"> </w:t>
      </w:r>
      <w:r>
        <w:rPr>
          <w:bCs/>
          <w:b/>
          <w:color w:val="2E2A26"/>
        </w:rPr>
        <w:t xml:space="preserve">57.5M lbs (2025)</w:t>
      </w:r>
      <w:r>
        <w:t xml:space="preserve"> </w:t>
      </w:r>
      <w:r>
        <w:t xml:space="preserve">→ 40.6M (2026 YTD) — spot-verified against official per-well disclosures (Gorlock Fed, Aug 2024: 62.3M lbs; Smore Fed, Nov 2025: 60.7M lbs).</w:t>
      </w:r>
      <w:fldSimple w:instr="NOTEREF _Ref_Footnote_5 \h \f">
        <w:r>
          <w:rPr>
            <w:vertAlign w:val="superscript"/>
          </w:rPr>
          <w:t>5</w:t>
        </w:r>
      </w:fldSimple>
      <w:r>
        <w:t xml:space="preserve"> </w:t>
      </w:r>
      <w:r>
        <w:t xml:space="preserve">The bulk CSV shows none of this; the portal record is unambiguous.</w:t>
      </w:r>
    </w:p>
    <w:p>
      <w:pPr>
        <w:numPr>
          <w:ilvl w:val="0"/>
          <w:numId w:val="1004"/>
        </w:numPr>
        <w:pStyle w:val="Compact"/>
      </w:pPr>
      <w:r>
        <w:rPr>
          <w:bCs/>
          <w:b/>
          <w:color w:val="2E2A26"/>
        </w:rPr>
        <w:t xml:space="preserve">Operator loading concentrations cluster at 1.3–1.8 lb/gal</w:t>
      </w:r>
      <w:r>
        <w:t xml:space="preserve"> </w:t>
      </w:r>
      <w:r>
        <w:t xml:space="preserve">— a practical sanity band for slickwater designs in this basin. Anschutz pairs the smallest proppant loads (20.2M median) with the smallest fluid volumes among the big four — a consistently lighter design philosophy, executed at the highest well count in the county.</w:t>
      </w:r>
    </w:p>
    <w:p>
      <w:pPr>
        <w:pStyle w:val="FirstParagraph"/>
      </w:pPr>
      <w:r>
        <w:rPr>
          <w:iCs/>
          <w:i/>
        </w:rPr>
        <w:t xml:space="preserve">Methodology note:</w:t>
      </w:r>
      <w:r>
        <w:t xml:space="preserve"> </w:t>
      </w:r>
      <w:r>
        <w:t xml:space="preserve">this is exactly the kind of trap that produces bad benchmarks — an export artifact masquerading as operator behavior. Every River &amp; Rocks benchmark validates bulk extracts against primary per-well records before any number is published.</w:t>
      </w:r>
    </w:p>
    <w:bookmarkEnd w:id="24"/>
    <w:bookmarkStart w:id="25" w:name="the-benches-two-design-worlds-one-county"/>
    <w:p>
      <w:pPr>
        <w:pStyle w:val="Heading2"/>
      </w:pPr>
      <w:r>
        <w:rPr>
          <w:spacing w:val="24"/>
        </w:rPr>
        <w:t>3.5 · THE BENCHES — TWO DESIGN WORLDS, ONE COUNTY</w:t>
      </w:r>
    </w:p>
    <w:p>
      <w:pPr>
        <w:pStyle w:val="FirstParagraph"/>
      </w:pPr>
      <w:r>
        <w:t xml:space="preserve">“</w:t>
      </w:r>
      <w:r>
        <w:t xml:space="preserve">Converse County</w:t>
      </w:r>
      <w:r>
        <w:t xml:space="preserve">”</w:t>
      </w:r>
      <w:r>
        <w:t xml:space="preserve"> </w:t>
      </w:r>
      <w:r>
        <w:t xml:space="preserve">is not one play. Every one of the 374 wells carries a public formation tag, and the disclosed jobs split into two distinct design worlds:</w:t>
      </w:r>
      <w:fldSimple w:instr="NOTEREF _Ref_Footnote_1 \h \f">
        <w:r>
          <w:rPr>
            <w:vertAlign w:val="superscript"/>
          </w:rPr>
          <w:t>1</w:t>
        </w:r>
      </w:fldSimple>
      <w:r>
        <w:t xml:space="preserve"> </w:t>
      </w:r>
      <w:fldSimple w:instr="NOTEREF _Ref_Footnote_5 \h \f">
        <w:r>
          <w:rPr>
            <w:vertAlign w:val="superscript"/>
          </w:rPr>
          <w:t>5</w:t>
        </w:r>
      </w:fldSimple>
    </w:p>
    <w:tbl>
      <w:tblPr>
        <w:tblStyle w:val="Table"/>
        <w:tblW w:type="pct" w:w="500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1250"/>
        <w:gridCol w:w="1667"/>
        <w:gridCol w:w="1667"/>
        <w:gridCol w:w="1667"/>
        <w:gridCol w:w="1667"/>
      </w:tblGrid>
      <w:tr>
        <w:trPr>
          <w:tblHeader w:val="true"/>
        </w:trPr>
        <w:tc>
          <w:tcPr>
            <w:tcBorders>
              <w:bottom w:val="single" w:sz="12" w:space="0" w:color="8B7355"/>
            </w:tcBorders>
          </w:tcPr>
          <w:p>
            <w:pPr>
              <w:pStyle w:val="Compact"/>
              <w:jc w:val="left"/>
            </w:pPr>
            <w:r>
              <w:rPr>
                <w:rFonts w:ascii="Georgia" w:hAnsi="Georgia"/>
                <w:b/>
                <w:color w:val="5C6E7F"/>
                <w:sz w:val="17"/>
                <w:spacing w:val="12"/>
              </w:rPr>
              <w:t>BENCH</w:t>
            </w:r>
          </w:p>
        </w:tc>
        <w:tc>
          <w:tcPr>
            <w:tcBorders>
              <w:bottom w:val="single" w:sz="12" w:space="0" w:color="8B7355"/>
            </w:tcBorders>
          </w:tcPr>
          <w:p>
            <w:pPr>
              <w:pStyle w:val="Compact"/>
              <w:jc w:val="right"/>
            </w:pPr>
            <w:r>
              <w:rPr>
                <w:rFonts w:ascii="Georgia" w:hAnsi="Georgia"/>
                <w:b/>
                <w:color w:val="5C6E7F"/>
                <w:sz w:val="17"/>
                <w:spacing w:val="12"/>
              </w:rPr>
              <w:t>JOBS</w:t>
            </w:r>
          </w:p>
        </w:tc>
        <w:tc>
          <w:tcPr>
            <w:tcBorders>
              <w:bottom w:val="single" w:sz="12" w:space="0" w:color="8B7355"/>
            </w:tcBorders>
          </w:tcPr>
          <w:p>
            <w:pPr>
              <w:pStyle w:val="Compact"/>
              <w:jc w:val="right"/>
            </w:pPr>
            <w:r>
              <w:rPr>
                <w:rFonts w:ascii="Georgia" w:hAnsi="Georgia"/>
                <w:b/>
                <w:color w:val="5C6E7F"/>
                <w:sz w:val="17"/>
                <w:spacing w:val="12"/>
              </w:rPr>
              <w:t>MEDIAN TVD (FT)</w:t>
            </w:r>
          </w:p>
        </w:tc>
        <w:tc>
          <w:tcPr>
            <w:tcBorders>
              <w:bottom w:val="single" w:sz="12" w:space="0" w:color="8B7355"/>
            </w:tcBorders>
          </w:tcPr>
          <w:p>
            <w:pPr>
              <w:pStyle w:val="Compact"/>
              <w:jc w:val="right"/>
            </w:pPr>
            <w:r>
              <w:rPr>
                <w:rFonts w:ascii="Georgia" w:hAnsi="Georgia"/>
                <w:b/>
                <w:color w:val="5C6E7F"/>
                <w:sz w:val="17"/>
                <w:spacing w:val="12"/>
              </w:rPr>
              <w:t>MEDIAN FLUID (M GAL)</w:t>
            </w:r>
          </w:p>
        </w:tc>
        <w:tc>
          <w:tcPr>
            <w:tcBorders>
              <w:bottom w:val="single" w:sz="12" w:space="0" w:color="8B7355"/>
            </w:tcBorders>
          </w:tcPr>
          <w:p>
            <w:pPr>
              <w:pStyle w:val="Compact"/>
              <w:jc w:val="right"/>
            </w:pPr>
            <w:r>
              <w:rPr>
                <w:rFonts w:ascii="Georgia" w:hAnsi="Georgia"/>
                <w:b/>
                <w:color w:val="5C6E7F"/>
                <w:sz w:val="17"/>
                <w:spacing w:val="12"/>
              </w:rPr>
              <w:t>MEDIAN PROPPANT (M LBS)</w:t>
            </w:r>
          </w:p>
        </w:tc>
      </w:tr>
      <w:tr>
        <w:tc>
          <w:tcPr>
            <w:tcBorders>
              <w:bottom w:val="single" w:sz="4" w:space="0" w:color="C4B7A6"/>
            </w:tcBorders>
          </w:tcPr>
          <w:p>
            <w:pPr>
              <w:pStyle w:val="Compact"/>
              <w:jc w:val="left"/>
            </w:pPr>
            <w:r>
              <w:rPr>
                <w:rFonts w:ascii="Georgia" w:hAnsi="Georgia"/>
                <w:color w:val="333333"/>
                <w:sz w:val="19"/>
              </w:rPr>
              <w:t xml:space="preserve">Niobrara</w:t>
            </w:r>
          </w:p>
        </w:tc>
        <w:tc>
          <w:tcPr>
            <w:tcBorders>
              <w:bottom w:val="single" w:sz="4" w:space="0" w:color="C4B7A6"/>
            </w:tcBorders>
          </w:tcPr>
          <w:p>
            <w:pPr>
              <w:pStyle w:val="Compact"/>
              <w:jc w:val="right"/>
            </w:pPr>
            <w:r>
              <w:rPr>
                <w:rFonts w:ascii="Georgia" w:hAnsi="Georgia"/>
                <w:color w:val="333333"/>
                <w:sz w:val="19"/>
              </w:rPr>
              <w:t xml:space="preserve">192</w:t>
            </w:r>
          </w:p>
        </w:tc>
        <w:tc>
          <w:tcPr>
            <w:tcBorders>
              <w:bottom w:val="single" w:sz="4" w:space="0" w:color="C4B7A6"/>
            </w:tcBorders>
          </w:tcPr>
          <w:p>
            <w:pPr>
              <w:pStyle w:val="Compact"/>
              <w:jc w:val="right"/>
            </w:pPr>
            <w:r>
              <w:rPr>
                <w:rFonts w:ascii="Georgia" w:hAnsi="Georgia"/>
                <w:color w:val="333333"/>
                <w:sz w:val="19"/>
              </w:rPr>
              <w:t xml:space="preserve">11,200</w:t>
            </w:r>
          </w:p>
        </w:tc>
        <w:tc>
          <w:tcPr>
            <w:tcBorders>
              <w:bottom w:val="single" w:sz="4" w:space="0" w:color="C4B7A6"/>
            </w:tcBorders>
          </w:tcPr>
          <w:p>
            <w:pPr>
              <w:pStyle w:val="Compact"/>
              <w:jc w:val="right"/>
            </w:pPr>
            <w:r>
              <w:rPr>
                <w:rFonts w:ascii="Georgia" w:hAnsi="Georgia"/>
                <w:color w:val="333333"/>
                <w:sz w:val="19"/>
              </w:rPr>
              <w:t xml:space="preserve">20.9</w:t>
            </w:r>
          </w:p>
        </w:tc>
        <w:tc>
          <w:tcPr>
            <w:tcBorders>
              <w:bottom w:val="single" w:sz="4" w:space="0" w:color="C4B7A6"/>
            </w:tcBorders>
          </w:tcPr>
          <w:p>
            <w:pPr>
              <w:pStyle w:val="Compact"/>
              <w:jc w:val="right"/>
            </w:pPr>
            <w:r>
              <w:rPr>
                <w:rFonts w:ascii="Georgia" w:hAnsi="Georgia"/>
                <w:color w:val="333333"/>
                <w:sz w:val="19"/>
              </w:rPr>
              <w:t xml:space="preserve">29.8</w:t>
            </w:r>
          </w:p>
        </w:tc>
      </w:tr>
      <w:tr>
        <w:tc>
          <w:tcPr>
            <w:tcBorders>
              <w:bottom w:val="single" w:sz="4" w:space="0" w:color="C4B7A6"/>
            </w:tcBorders>
          </w:tcPr>
          <w:p>
            <w:pPr>
              <w:pStyle w:val="Compact"/>
              <w:jc w:val="left"/>
            </w:pPr>
            <w:r>
              <w:rPr>
                <w:rFonts w:ascii="Georgia" w:hAnsi="Georgia"/>
                <w:color w:val="333333"/>
                <w:sz w:val="19"/>
              </w:rPr>
              <w:t xml:space="preserve">Mowry</w:t>
            </w:r>
          </w:p>
        </w:tc>
        <w:tc>
          <w:tcPr>
            <w:tcBorders>
              <w:bottom w:val="single" w:sz="4" w:space="0" w:color="C4B7A6"/>
            </w:tcBorders>
          </w:tcPr>
          <w:p>
            <w:pPr>
              <w:pStyle w:val="Compact"/>
              <w:jc w:val="right"/>
            </w:pPr>
            <w:r>
              <w:rPr>
                <w:rFonts w:ascii="Georgia" w:hAnsi="Georgia"/>
                <w:color w:val="333333"/>
                <w:sz w:val="19"/>
              </w:rPr>
              <w:t xml:space="preserve">14</w:t>
            </w:r>
          </w:p>
        </w:tc>
        <w:tc>
          <w:tcPr>
            <w:tcBorders>
              <w:bottom w:val="single" w:sz="4" w:space="0" w:color="C4B7A6"/>
            </w:tcBorders>
          </w:tcPr>
          <w:p>
            <w:pPr>
              <w:pStyle w:val="Compact"/>
              <w:jc w:val="right"/>
            </w:pPr>
            <w:r>
              <w:rPr>
                <w:rFonts w:ascii="Georgia" w:hAnsi="Georgia"/>
                <w:color w:val="333333"/>
                <w:sz w:val="19"/>
              </w:rPr>
              <w:t xml:space="preserve">12,280</w:t>
            </w:r>
          </w:p>
        </w:tc>
        <w:tc>
          <w:tcPr>
            <w:tcBorders>
              <w:bottom w:val="single" w:sz="4" w:space="0" w:color="C4B7A6"/>
            </w:tcBorders>
          </w:tcPr>
          <w:p>
            <w:pPr>
              <w:pStyle w:val="Compact"/>
              <w:jc w:val="right"/>
            </w:pPr>
            <w:r>
              <w:rPr>
                <w:rFonts w:ascii="Georgia" w:hAnsi="Georgia"/>
                <w:color w:val="333333"/>
                <w:sz w:val="19"/>
              </w:rPr>
              <w:t xml:space="preserve">20.2</w:t>
            </w:r>
          </w:p>
        </w:tc>
        <w:tc>
          <w:tcPr>
            <w:tcBorders>
              <w:bottom w:val="single" w:sz="4" w:space="0" w:color="C4B7A6"/>
            </w:tcBorders>
          </w:tcPr>
          <w:p>
            <w:pPr>
              <w:pStyle w:val="Compact"/>
              <w:jc w:val="right"/>
            </w:pPr>
            <w:r>
              <w:rPr>
                <w:rFonts w:ascii="Georgia" w:hAnsi="Georgia"/>
                <w:color w:val="333333"/>
                <w:sz w:val="19"/>
              </w:rPr>
              <w:t xml:space="preserve">18.7</w:t>
            </w:r>
          </w:p>
        </w:tc>
      </w:tr>
      <w:tr>
        <w:tc>
          <w:tcPr>
            <w:tcBorders>
              <w:bottom w:val="single" w:sz="4" w:space="0" w:color="C4B7A6"/>
            </w:tcBorders>
          </w:tcPr>
          <w:p>
            <w:pPr>
              <w:pStyle w:val="Compact"/>
              <w:jc w:val="left"/>
            </w:pPr>
            <w:r>
              <w:rPr>
                <w:rFonts w:ascii="Georgia" w:hAnsi="Georgia"/>
                <w:color w:val="333333"/>
                <w:sz w:val="19"/>
              </w:rPr>
              <w:t xml:space="preserve">Frontier</w:t>
            </w:r>
          </w:p>
        </w:tc>
        <w:tc>
          <w:tcPr>
            <w:tcBorders>
              <w:bottom w:val="single" w:sz="4" w:space="0" w:color="C4B7A6"/>
            </w:tcBorders>
          </w:tcPr>
          <w:p>
            <w:pPr>
              <w:pStyle w:val="Compact"/>
              <w:jc w:val="right"/>
            </w:pPr>
            <w:r>
              <w:rPr>
                <w:rFonts w:ascii="Georgia" w:hAnsi="Georgia"/>
                <w:color w:val="333333"/>
                <w:sz w:val="19"/>
              </w:rPr>
              <w:t xml:space="preserve">4</w:t>
            </w:r>
          </w:p>
        </w:tc>
        <w:tc>
          <w:tcPr>
            <w:tcBorders>
              <w:bottom w:val="single" w:sz="4" w:space="0" w:color="C4B7A6"/>
            </w:tcBorders>
          </w:tcPr>
          <w:p>
            <w:pPr>
              <w:pStyle w:val="Compact"/>
              <w:jc w:val="right"/>
            </w:pPr>
            <w:r>
              <w:rPr>
                <w:rFonts w:ascii="Georgia" w:hAnsi="Georgia"/>
                <w:color w:val="333333"/>
                <w:sz w:val="19"/>
              </w:rPr>
              <w:t xml:space="preserve">12,265</w:t>
            </w:r>
          </w:p>
        </w:tc>
        <w:tc>
          <w:tcPr>
            <w:tcBorders>
              <w:bottom w:val="single" w:sz="4" w:space="0" w:color="C4B7A6"/>
            </w:tcBorders>
          </w:tcPr>
          <w:p>
            <w:pPr>
              <w:pStyle w:val="Compact"/>
              <w:jc w:val="right"/>
            </w:pPr>
            <w:r>
              <w:rPr>
                <w:rFonts w:ascii="Georgia" w:hAnsi="Georgia"/>
                <w:color w:val="333333"/>
                <w:sz w:val="19"/>
              </w:rPr>
              <w:t xml:space="preserve">11.3</w:t>
            </w:r>
          </w:p>
        </w:tc>
        <w:tc>
          <w:tcPr>
            <w:tcBorders>
              <w:bottom w:val="single" w:sz="4" w:space="0" w:color="C4B7A6"/>
            </w:tcBorders>
          </w:tcPr>
          <w:p>
            <w:pPr>
              <w:pStyle w:val="Compact"/>
              <w:jc w:val="right"/>
            </w:pPr>
            <w:r>
              <w:rPr>
                <w:rFonts w:ascii="Georgia" w:hAnsi="Georgia"/>
                <w:color w:val="333333"/>
                <w:sz w:val="19"/>
              </w:rPr>
              <w:t xml:space="preserve">13.6</w:t>
            </w:r>
          </w:p>
        </w:tc>
      </w:tr>
      <w:tr>
        <w:tc>
          <w:tcPr>
            <w:tcBorders>
              <w:bottom w:val="single" w:sz="4" w:space="0" w:color="C4B7A6"/>
            </w:tcBorders>
          </w:tcPr>
          <w:p>
            <w:pPr>
              <w:pStyle w:val="Compact"/>
              <w:jc w:val="left"/>
            </w:pPr>
            <w:r>
              <w:rPr>
                <w:rFonts w:ascii="Georgia" w:hAnsi="Georgia"/>
                <w:color w:val="333333"/>
                <w:sz w:val="19"/>
              </w:rPr>
              <w:t xml:space="preserve">Shannon</w:t>
            </w:r>
          </w:p>
        </w:tc>
        <w:tc>
          <w:tcPr>
            <w:tcBorders>
              <w:bottom w:val="single" w:sz="4" w:space="0" w:color="C4B7A6"/>
            </w:tcBorders>
          </w:tcPr>
          <w:p>
            <w:pPr>
              <w:pStyle w:val="Compact"/>
              <w:jc w:val="right"/>
            </w:pPr>
            <w:r>
              <w:rPr>
                <w:rFonts w:ascii="Georgia" w:hAnsi="Georgia"/>
                <w:color w:val="333333"/>
                <w:sz w:val="19"/>
              </w:rPr>
              <w:t xml:space="preserve">25</w:t>
            </w:r>
          </w:p>
        </w:tc>
        <w:tc>
          <w:tcPr>
            <w:tcBorders>
              <w:bottom w:val="single" w:sz="4" w:space="0" w:color="C4B7A6"/>
            </w:tcBorders>
          </w:tcPr>
          <w:p>
            <w:pPr>
              <w:pStyle w:val="Compact"/>
              <w:jc w:val="right"/>
            </w:pPr>
            <w:r>
              <w:rPr>
                <w:rFonts w:ascii="Georgia" w:hAnsi="Georgia"/>
                <w:color w:val="333333"/>
                <w:sz w:val="19"/>
              </w:rPr>
              <w:t xml:space="preserve">9,874</w:t>
            </w:r>
          </w:p>
        </w:tc>
        <w:tc>
          <w:tcPr>
            <w:tcBorders>
              <w:bottom w:val="single" w:sz="4" w:space="0" w:color="C4B7A6"/>
            </w:tcBorders>
          </w:tcPr>
          <w:p>
            <w:pPr>
              <w:pStyle w:val="Compact"/>
              <w:jc w:val="right"/>
            </w:pPr>
            <w:r>
              <w:rPr>
                <w:rFonts w:ascii="Georgia" w:hAnsi="Georgia"/>
                <w:color w:val="333333"/>
                <w:sz w:val="19"/>
              </w:rPr>
              <w:t xml:space="preserve">7.0</w:t>
            </w:r>
          </w:p>
        </w:tc>
        <w:tc>
          <w:tcPr>
            <w:tcBorders>
              <w:bottom w:val="single" w:sz="4" w:space="0" w:color="C4B7A6"/>
            </w:tcBorders>
          </w:tcPr>
          <w:p>
            <w:pPr>
              <w:pStyle w:val="Compact"/>
              <w:jc w:val="right"/>
            </w:pPr>
            <w:r>
              <w:rPr>
                <w:rFonts w:ascii="Georgia" w:hAnsi="Georgia"/>
                <w:color w:val="333333"/>
                <w:sz w:val="19"/>
              </w:rPr>
              <w:t xml:space="preserve">11.7</w:t>
            </w:r>
          </w:p>
        </w:tc>
      </w:tr>
      <w:tr>
        <w:tc>
          <w:tcPr>
            <w:tcBorders>
              <w:bottom w:val="single" w:sz="4" w:space="0" w:color="C4B7A6"/>
            </w:tcBorders>
          </w:tcPr>
          <w:p>
            <w:pPr>
              <w:pStyle w:val="Compact"/>
              <w:jc w:val="left"/>
            </w:pPr>
            <w:r>
              <w:rPr>
                <w:rFonts w:ascii="Georgia" w:hAnsi="Georgia"/>
                <w:color w:val="333333"/>
                <w:sz w:val="19"/>
              </w:rPr>
              <w:t xml:space="preserve">Turner</w:t>
            </w:r>
          </w:p>
        </w:tc>
        <w:tc>
          <w:tcPr>
            <w:tcBorders>
              <w:bottom w:val="single" w:sz="4" w:space="0" w:color="C4B7A6"/>
            </w:tcBorders>
          </w:tcPr>
          <w:p>
            <w:pPr>
              <w:pStyle w:val="Compact"/>
              <w:jc w:val="right"/>
            </w:pPr>
            <w:r>
              <w:rPr>
                <w:rFonts w:ascii="Georgia" w:hAnsi="Georgia"/>
                <w:color w:val="333333"/>
                <w:sz w:val="19"/>
              </w:rPr>
              <w:t xml:space="preserve">21</w:t>
            </w:r>
          </w:p>
        </w:tc>
        <w:tc>
          <w:tcPr>
            <w:tcBorders>
              <w:bottom w:val="single" w:sz="4" w:space="0" w:color="C4B7A6"/>
            </w:tcBorders>
          </w:tcPr>
          <w:p>
            <w:pPr>
              <w:pStyle w:val="Compact"/>
              <w:jc w:val="right"/>
            </w:pPr>
            <w:r>
              <w:rPr>
                <w:rFonts w:ascii="Georgia" w:hAnsi="Georgia"/>
                <w:color w:val="333333"/>
                <w:sz w:val="19"/>
              </w:rPr>
              <w:t xml:space="preserve">10,869</w:t>
            </w:r>
          </w:p>
        </w:tc>
        <w:tc>
          <w:tcPr>
            <w:tcBorders>
              <w:bottom w:val="single" w:sz="4" w:space="0" w:color="C4B7A6"/>
            </w:tcBorders>
          </w:tcPr>
          <w:p>
            <w:pPr>
              <w:pStyle w:val="Compact"/>
              <w:jc w:val="right"/>
            </w:pPr>
            <w:r>
              <w:rPr>
                <w:rFonts w:ascii="Georgia" w:hAnsi="Georgia"/>
                <w:color w:val="333333"/>
                <w:sz w:val="19"/>
              </w:rPr>
              <w:t xml:space="preserve">7.4</w:t>
            </w:r>
          </w:p>
        </w:tc>
        <w:tc>
          <w:tcPr>
            <w:tcBorders>
              <w:bottom w:val="single" w:sz="4" w:space="0" w:color="C4B7A6"/>
            </w:tcBorders>
          </w:tcPr>
          <w:p>
            <w:pPr>
              <w:pStyle w:val="Compact"/>
              <w:jc w:val="right"/>
            </w:pPr>
            <w:r>
              <w:rPr>
                <w:rFonts w:ascii="Georgia" w:hAnsi="Georgia"/>
                <w:color w:val="333333"/>
                <w:sz w:val="19"/>
              </w:rPr>
              <w:t xml:space="preserve">10.4</w:t>
            </w:r>
          </w:p>
        </w:tc>
      </w:tr>
      <w:tr>
        <w:tc>
          <w:tcPr>
            <w:tcBorders>
              <w:bottom w:val="single" w:sz="4" w:space="0" w:color="C4B7A6"/>
            </w:tcBorders>
          </w:tcPr>
          <w:p>
            <w:pPr>
              <w:pStyle w:val="Compact"/>
              <w:jc w:val="left"/>
            </w:pPr>
            <w:r>
              <w:rPr>
                <w:rFonts w:ascii="Georgia" w:hAnsi="Georgia"/>
                <w:color w:val="333333"/>
                <w:sz w:val="19"/>
              </w:rPr>
              <w:t xml:space="preserve">Parkman</w:t>
            </w:r>
          </w:p>
        </w:tc>
        <w:tc>
          <w:tcPr>
            <w:tcBorders>
              <w:bottom w:val="single" w:sz="4" w:space="0" w:color="C4B7A6"/>
            </w:tcBorders>
          </w:tcPr>
          <w:p>
            <w:pPr>
              <w:pStyle w:val="Compact"/>
              <w:jc w:val="right"/>
            </w:pPr>
            <w:r>
              <w:rPr>
                <w:rFonts w:ascii="Georgia" w:hAnsi="Georgia"/>
                <w:color w:val="333333"/>
                <w:sz w:val="19"/>
              </w:rPr>
              <w:t xml:space="preserve">20</w:t>
            </w:r>
          </w:p>
        </w:tc>
        <w:tc>
          <w:tcPr>
            <w:tcBorders>
              <w:bottom w:val="single" w:sz="4" w:space="0" w:color="C4B7A6"/>
            </w:tcBorders>
          </w:tcPr>
          <w:p>
            <w:pPr>
              <w:pStyle w:val="Compact"/>
              <w:jc w:val="right"/>
            </w:pPr>
            <w:r>
              <w:rPr>
                <w:rFonts w:ascii="Georgia" w:hAnsi="Georgia"/>
                <w:color w:val="333333"/>
                <w:sz w:val="19"/>
              </w:rPr>
              <w:t xml:space="preserve">8,305</w:t>
            </w:r>
          </w:p>
        </w:tc>
        <w:tc>
          <w:tcPr>
            <w:tcBorders>
              <w:bottom w:val="single" w:sz="4" w:space="0" w:color="C4B7A6"/>
            </w:tcBorders>
          </w:tcPr>
          <w:p>
            <w:pPr>
              <w:pStyle w:val="Compact"/>
              <w:jc w:val="right"/>
            </w:pPr>
            <w:r>
              <w:rPr>
                <w:rFonts w:ascii="Georgia" w:hAnsi="Georgia"/>
                <w:color w:val="333333"/>
                <w:sz w:val="19"/>
              </w:rPr>
              <w:t xml:space="preserve">5.5</w:t>
            </w:r>
          </w:p>
        </w:tc>
        <w:tc>
          <w:tcPr>
            <w:tcBorders>
              <w:bottom w:val="single" w:sz="4" w:space="0" w:color="C4B7A6"/>
            </w:tcBorders>
          </w:tcPr>
          <w:p>
            <w:pPr>
              <w:pStyle w:val="Compact"/>
              <w:jc w:val="right"/>
            </w:pPr>
            <w:r>
              <w:rPr>
                <w:rFonts w:ascii="Georgia" w:hAnsi="Georgia"/>
                <w:color w:val="333333"/>
                <w:sz w:val="19"/>
              </w:rPr>
              <w:t xml:space="preserve">8.6</w:t>
            </w:r>
          </w:p>
        </w:tc>
      </w:tr>
    </w:tbl>
    <w:p>
      <w:pPr>
        <w:pStyle w:val="BodyText"/>
      </w:pPr>
      <w:r>
        <w:rPr>
          <w:iCs/>
          <w:i/>
        </w:rPr>
        <w:t xml:space="preserve">Of the 311 proppant-reporting jobs, 276 carry a named-bench tag (above). The remaining 35 — ambiguous tags or wells outside the 374-well first-production population — are included in every countywide median but excluded from bench cuts.</w:t>
      </w:r>
    </w:p>
    <w:p>
      <w:pPr>
        <w:pStyle w:val="BodyText"/>
      </w:pPr>
      <w:r>
        <w:t xml:space="preserve">Three readings:</w:t>
      </w:r>
    </w:p>
    <w:p>
      <w:pPr>
        <w:numPr>
          <w:ilvl w:val="0"/>
          <w:numId w:val="1005"/>
        </w:numPr>
        <w:pStyle w:val="Compact"/>
      </w:pPr>
      <w:r>
        <w:rPr>
          <w:bCs/>
          <w:b/>
          <w:color w:val="2E2A26"/>
        </w:rPr>
        <w:t xml:space="preserve">Countywide medians mix two worlds and describe neither.</w:t>
      </w:r>
      <w:r>
        <w:t xml:space="preserve"> </w:t>
      </w:r>
      <w:r>
        <w:t xml:space="preserve">The deep benches (Niobrara and Mowry, 11,200–12,300 ft TVD) run 20+ M gal and 19–30M lbs of proppant; the shallow Cretaceous benches (Shannon, Turner, Parkman, 8,300–10,900 ft) run 5.5–7.4 M gal and 9–12M lbs — a 3.5x proppant spread inside one county. A</w:t>
      </w:r>
      <w:r>
        <w:t xml:space="preserve"> </w:t>
      </w:r>
      <w:r>
        <w:t xml:space="preserve">“</w:t>
      </w:r>
      <w:r>
        <w:t xml:space="preserve">county median job</w:t>
      </w:r>
      <w:r>
        <w:t xml:space="preserve">”</w:t>
      </w:r>
      <w:r>
        <w:t xml:space="preserve"> </w:t>
      </w:r>
      <w:r>
        <w:t xml:space="preserve">averages the two and matches neither. Any benchmark that is not bench-matched is a number you cannot design against.</w:t>
      </w:r>
    </w:p>
    <w:p>
      <w:pPr>
        <w:numPr>
          <w:ilvl w:val="0"/>
          <w:numId w:val="1005"/>
        </w:numPr>
        <w:pStyle w:val="Compact"/>
      </w:pPr>
      <w:r>
        <w:rPr>
          <w:bCs/>
          <w:b/>
          <w:color w:val="2E2A26"/>
        </w:rPr>
        <w:t xml:space="preserve">The escalation is design behavior, not bench drift.</w:t>
      </w:r>
      <w:r>
        <w:t xml:space="preserve"> </w:t>
      </w:r>
      <w:r>
        <w:t xml:space="preserve">Within the Niobrara alone — same rock, same county — the median job grew 23.5M → 31.5M → 43.6M lbs (2023 → 2025,</w:t>
      </w:r>
      <w:r>
        <w:t xml:space="preserve"> </w:t>
      </w:r>
      <w:r>
        <w:rPr>
          <w:bCs/>
          <w:b/>
          <w:color w:val="2E2A26"/>
        </w:rPr>
        <w:t xml:space="preserve">+86%</w:t>
      </w:r>
      <w:r>
        <w:t xml:space="preserve">), with loading concentration stepping from 1.12 to 1.69 lb/gal. Continental’s Niobrara-only median went 20.1M → 40.0M →</w:t>
      </w:r>
      <w:r>
        <w:t xml:space="preserve"> </w:t>
      </w:r>
      <w:r>
        <w:rPr>
          <w:bCs/>
          <w:b/>
          <w:color w:val="2E2A26"/>
        </w:rPr>
        <w:t xml:space="preserve">60.8M lbs</w:t>
      </w:r>
      <w:r>
        <w:t xml:space="preserve"> </w:t>
      </w:r>
      <w:r>
        <w:t xml:space="preserve">over the same three years (+202%, n=56 jobs). Same operator, same bench: that is a design decision, not a mix artifact. The countywide +89% in §3 survives every control we can apply to public data.</w:t>
      </w:r>
    </w:p>
    <w:p>
      <w:pPr>
        <w:numPr>
          <w:ilvl w:val="0"/>
          <w:numId w:val="1005"/>
        </w:numPr>
        <w:pStyle w:val="Compact"/>
      </w:pPr>
      <w:r>
        <w:rPr>
          <w:bCs/>
          <w:b/>
          <w:color w:val="2E2A26"/>
        </w:rPr>
        <w:t xml:space="preserve">What this dataset does not know: lateral length.</w:t>
      </w:r>
      <w:r>
        <w:t xml:space="preserve"> </w:t>
      </w:r>
      <w:r>
        <w:t xml:space="preserve">FracFocus does not report lateral length, and public aggregator headers carry it for only 16 of the 374 wells (median ≈10,900 ft where present). WOGCC well headers record vertical depths rather than measured depth, so they cannot proxy lateral length — we tested that field and rejected it rather than print a bad number. Total-job volumes scale with lateral length, so part of any multi-year volume trend could be lateral growth rather than design intensity. Two length-independent checks say the escalation is real anyway: loading concentration does not care how long the lateral is, and it stepped up +42% countywide and has held; and the within-Niobrara and within-Continental trends above hold rock and operator constant. The definitive cut — lbs/ft and gal/ft by bench — requires directional surveys pulled from WOGCC records, and it is part of the engagement-layer build, not this free sample.</w:t>
      </w:r>
    </w:p>
    <w:bookmarkEnd w:id="25"/>
    <w:bookmarkStart w:id="26" w:name="X513d9b2bf3ea8e5f46777d099348eebd4951856"/>
    <w:p>
      <w:pPr>
        <w:pStyle w:val="Heading2"/>
      </w:pPr>
      <w:r>
        <w:rPr>
          <w:spacing w:val="24"/>
        </w:rPr>
        <w:t>4 · JOB SIZE AND PERFORMANCE — THE MONEY QUESTION</w:t>
      </w:r>
    </w:p>
    <w:p>
      <w:pPr>
        <w:pStyle w:val="FirstParagraph"/>
      </w:pPr>
      <w:r>
        <w:t xml:space="preserve">For the 23 wells where a disclosure matches a single-well production stream, job size and peak-month oil correlate at</w:t>
      </w:r>
      <w:r>
        <w:t xml:space="preserve"> </w:t>
      </w:r>
      <w:r>
        <w:rPr>
          <w:bCs/>
          <w:b/>
          <w:color w:val="2E2A26"/>
        </w:rPr>
        <w:t xml:space="preserve">Spearman ρ = 0.63</w:t>
      </w:r>
      <w:r>
        <w:t xml:space="preserve">:</w:t>
      </w:r>
      <w:fldSimple w:instr="NOTEREF _Ref_Footnote_1 \h \f">
        <w:r>
          <w:rPr>
            <w:vertAlign w:val="superscript"/>
          </w:rPr>
          <w:t>1</w:t>
        </w:r>
      </w:fldSimple>
      <w:r>
        <w:t xml:space="preserve"> </w:t>
      </w:r>
      <w:fldSimple w:instr="NOTEREF _Ref_Footnote_4 \h \f">
        <w:r>
          <w:rPr>
            <w:vertAlign w:val="superscript"/>
          </w:rPr>
          <w:t>4</w:t>
        </w:r>
      </w:fldSimple>
    </w:p>
    <w:tbl>
      <w:tblPr>
        <w:tblStyle w:val="Table"/>
        <w:tblW w:type="auto" w:w="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2640"/>
        <w:gridCol w:w="2640"/>
        <w:gridCol w:w="2640"/>
      </w:tblGrid>
      <w:tr>
        <w:trPr>
          <w:tblHeader w:val="true"/>
        </w:trPr>
        <w:tc>
          <w:tcPr>
            <w:tcBorders>
              <w:bottom w:val="single" w:sz="12" w:space="0" w:color="8B7355"/>
            </w:tcBorders>
          </w:tcPr>
          <w:p>
            <w:pPr>
              <w:pStyle w:val="Compact"/>
              <w:jc w:val="left"/>
            </w:pPr>
            <w:r>
              <w:rPr>
                <w:rFonts w:ascii="Georgia" w:hAnsi="Georgia"/>
                <w:b/>
                <w:color w:val="5C6E7F"/>
                <w:sz w:val="17"/>
                <w:spacing w:val="12"/>
              </w:rPr>
              <w:t>COHORT</w:t>
            </w:r>
          </w:p>
        </w:tc>
        <w:tc>
          <w:tcPr>
            <w:tcBorders>
              <w:bottom w:val="single" w:sz="12" w:space="0" w:color="8B7355"/>
            </w:tcBorders>
          </w:tcPr>
          <w:p>
            <w:pPr>
              <w:pStyle w:val="Compact"/>
              <w:jc w:val="right"/>
            </w:pPr>
            <w:r>
              <w:rPr>
                <w:rFonts w:ascii="Georgia" w:hAnsi="Georgia"/>
                <w:b/>
                <w:color w:val="5C6E7F"/>
                <w:sz w:val="17"/>
                <w:spacing w:val="12"/>
              </w:rPr>
              <w:t>WELLS</w:t>
            </w:r>
          </w:p>
        </w:tc>
        <w:tc>
          <w:tcPr>
            <w:tcBorders>
              <w:bottom w:val="single" w:sz="12" w:space="0" w:color="8B7355"/>
            </w:tcBorders>
          </w:tcPr>
          <w:p>
            <w:pPr>
              <w:pStyle w:val="Compact"/>
              <w:jc w:val="right"/>
            </w:pPr>
            <w:r>
              <w:rPr>
                <w:rFonts w:ascii="Georgia" w:hAnsi="Georgia"/>
                <w:b/>
                <w:color w:val="5C6E7F"/>
                <w:sz w:val="17"/>
                <w:spacing w:val="12"/>
              </w:rPr>
              <w:t>MEDIAN PEAK-MONTH OIL (BBL)</w:t>
            </w:r>
          </w:p>
        </w:tc>
      </w:tr>
      <w:tr>
        <w:tc>
          <w:tcPr>
            <w:tcBorders>
              <w:bottom w:val="single" w:sz="4" w:space="0" w:color="C4B7A6"/>
            </w:tcBorders>
          </w:tcPr>
          <w:p>
            <w:pPr>
              <w:pStyle w:val="Compact"/>
              <w:jc w:val="left"/>
            </w:pPr>
            <w:r>
              <w:rPr>
                <w:rFonts w:ascii="Georgia" w:hAnsi="Georgia"/>
                <w:color w:val="333333"/>
                <w:sz w:val="19"/>
              </w:rPr>
              <w:t xml:space="preserve">Above-median job (&gt;18.3M gal)</w:t>
            </w:r>
          </w:p>
        </w:tc>
        <w:tc>
          <w:tcPr>
            <w:tcBorders>
              <w:bottom w:val="single" w:sz="4" w:space="0" w:color="C4B7A6"/>
            </w:tcBorders>
          </w:tcPr>
          <w:p>
            <w:pPr>
              <w:pStyle w:val="Compact"/>
              <w:jc w:val="right"/>
            </w:pPr>
            <w:r>
              <w:rPr>
                <w:rFonts w:ascii="Georgia" w:hAnsi="Georgia"/>
                <w:color w:val="333333"/>
                <w:sz w:val="19"/>
              </w:rPr>
              <w:t xml:space="preserve">11</w:t>
            </w:r>
          </w:p>
        </w:tc>
        <w:tc>
          <w:tcPr>
            <w:tcBorders>
              <w:bottom w:val="single" w:sz="4" w:space="0" w:color="C4B7A6"/>
            </w:tcBorders>
          </w:tcPr>
          <w:p>
            <w:pPr>
              <w:pStyle w:val="Compact"/>
              <w:jc w:val="right"/>
            </w:pPr>
            <w:r>
              <w:rPr>
                <w:bCs/>
                <w:rFonts w:ascii="Georgia" w:hAnsi="Georgia"/>
                <w:b/>
                <w:color w:val="2E2A26"/>
                <w:sz w:val="19"/>
              </w:rPr>
              <w:t xml:space="preserve">19,191</w:t>
            </w:r>
          </w:p>
        </w:tc>
      </w:tr>
      <w:tr>
        <w:tc>
          <w:tcPr>
            <w:tcBorders>
              <w:bottom w:val="single" w:sz="4" w:space="0" w:color="C4B7A6"/>
            </w:tcBorders>
          </w:tcPr>
          <w:p>
            <w:pPr>
              <w:pStyle w:val="Compact"/>
              <w:jc w:val="left"/>
            </w:pPr>
            <w:r>
              <w:rPr>
                <w:rFonts w:ascii="Georgia" w:hAnsi="Georgia"/>
                <w:color w:val="333333"/>
                <w:sz w:val="19"/>
              </w:rPr>
              <w:t xml:space="preserve">Below-median job</w:t>
            </w:r>
          </w:p>
        </w:tc>
        <w:tc>
          <w:tcPr>
            <w:tcBorders>
              <w:bottom w:val="single" w:sz="4" w:space="0" w:color="C4B7A6"/>
            </w:tcBorders>
          </w:tcPr>
          <w:p>
            <w:pPr>
              <w:pStyle w:val="Compact"/>
              <w:jc w:val="right"/>
            </w:pPr>
            <w:r>
              <w:rPr>
                <w:rFonts w:ascii="Georgia" w:hAnsi="Georgia"/>
                <w:color w:val="333333"/>
                <w:sz w:val="19"/>
              </w:rPr>
              <w:t xml:space="preserve">12</w:t>
            </w:r>
          </w:p>
        </w:tc>
        <w:tc>
          <w:tcPr>
            <w:tcBorders>
              <w:bottom w:val="single" w:sz="4" w:space="0" w:color="C4B7A6"/>
            </w:tcBorders>
          </w:tcPr>
          <w:p>
            <w:pPr>
              <w:pStyle w:val="Compact"/>
              <w:jc w:val="right"/>
            </w:pPr>
            <w:r>
              <w:rPr>
                <w:rFonts w:ascii="Georgia" w:hAnsi="Georgia"/>
                <w:color w:val="333333"/>
                <w:sz w:val="19"/>
              </w:rPr>
              <w:t xml:space="preserve">15,460</w:t>
            </w:r>
          </w:p>
        </w:tc>
      </w:tr>
    </w:tbl>
    <w:p>
      <w:pPr>
        <w:pStyle w:val="BodyText"/>
      </w:pPr>
      <w:r>
        <w:t xml:space="preserve">Restricting to the 19 wells with complete six-month production windows, the relationship strengthens to</w:t>
      </w:r>
      <w:r>
        <w:t xml:space="preserve"> </w:t>
      </w:r>
      <w:r>
        <w:rPr>
          <w:bCs/>
          <w:b/>
          <w:color w:val="2E2A26"/>
        </w:rPr>
        <w:t xml:space="preserve">ρ = 0.72</w:t>
      </w:r>
      <w:r>
        <w:t xml:space="preserve">, and the median six-month cumulative splits</w:t>
      </w:r>
      <w:r>
        <w:t xml:space="preserve"> </w:t>
      </w:r>
      <w:r>
        <w:rPr>
          <w:bCs/>
          <w:b/>
          <w:color w:val="2E2A26"/>
        </w:rPr>
        <w:t xml:space="preserve">86,727 bbl (above-median jobs) versus 48,528 bbl (below-median) — a +79% difference</w:t>
      </w:r>
      <w:r>
        <w:t xml:space="preserve">.</w:t>
      </w:r>
    </w:p>
    <w:p>
      <w:pPr>
        <w:pStyle w:val="BodyText"/>
      </w:pPr>
      <w:r>
        <w:t xml:space="preserve">Honest limits: small convenience sample; geology, landing zone, and spacing all confound; correlation is not causation; and the comparison is volume-based, not length-normalized (see §3.5) — treat the magnitudes as directional until lbs/ft cuts are available. But note who behaves as if it were causal: Continental and Devon, with the deepest data rooms in the county, are the ones escalating. The burden of proof sits on the small-design thesis, not on escalation.</w:t>
      </w:r>
    </w:p>
    <w:bookmarkEnd w:id="26"/>
    <w:bookmarkStart w:id="27" w:name="the-invisible-leader"/>
    <w:p>
      <w:pPr>
        <w:pStyle w:val="Heading2"/>
      </w:pPr>
      <w:r>
        <w:rPr>
          <w:spacing w:val="24"/>
        </w:rPr>
        <w:t>5 · THE INVISIBLE LEADER</w:t>
      </w:r>
    </w:p>
    <w:p>
      <w:pPr>
        <w:pStyle w:val="FirstParagraph"/>
      </w:pPr>
      <w:r>
        <w:t xml:space="preserve">WRC Energy posts the highest median peak-month oil per well of any operator on 2024+ pads:</w:t>
      </w:r>
      <w:r>
        <w:t xml:space="preserve"> </w:t>
      </w:r>
      <w:r>
        <w:rPr>
          <w:bCs/>
          <w:b/>
          <w:color w:val="2E2A26"/>
        </w:rPr>
        <w:t xml:space="preserve">34,873 bbl, versus 29,156 for Continental and 28,181 for Devon</w:t>
      </w:r>
      <w:r>
        <w:t xml:space="preserve"> </w:t>
      </w:r>
      <w:r>
        <w:t xml:space="preserve">(26 pads, 31 wells).</w:t>
      </w:r>
      <w:fldSimple w:instr="NOTEREF _Ref_Footnote_1 \h \f">
        <w:r>
          <w:rPr>
            <w:vertAlign w:val="superscript"/>
          </w:rPr>
          <w:t>1</w:t>
        </w:r>
      </w:fldSimple>
      <w:r>
        <w:t xml:space="preserve"> </w:t>
      </w:r>
      <w:r>
        <w:t xml:space="preserve">It is the county’s most active independent (33 wells), formed around 2021 from the Wold Energy / Rebellion Energy II / Camino Natural Resources combination, backed by NGP Energy Capital and Concentric Equity Partners.</w:t>
      </w:r>
      <w:fldSimple w:instr="NOTEREF _Ref_Footnote_8 \h \f">
        <w:r>
          <w:rPr>
            <w:vertAlign w:val="superscript"/>
          </w:rPr>
          <w:t>8</w:t>
        </w:r>
      </w:fldSimple>
    </w:p>
    <w:p>
      <w:pPr>
        <w:pStyle w:val="BodyText"/>
      </w:pPr>
      <w:r>
        <w:t xml:space="preserve">And it has</w:t>
      </w:r>
      <w:r>
        <w:t xml:space="preserve"> </w:t>
      </w:r>
      <w:r>
        <w:rPr>
          <w:bCs/>
          <w:b/>
          <w:color w:val="2E2A26"/>
        </w:rPr>
        <w:t xml:space="preserve">no FracFocus presence</w:t>
      </w:r>
      <w:r>
        <w:t xml:space="preserve">: zero disclosures under WRC Energy or its legacy entities, verified against the live registry.</w:t>
      </w:r>
      <w:fldSimple w:instr="NOTEREF _Ref_Footnote_5 \h \f">
        <w:r>
          <w:rPr>
            <w:vertAlign w:val="superscript"/>
          </w:rPr>
          <w:t>5</w:t>
        </w:r>
      </w:fldSimple>
      <w:r>
        <w:t xml:space="preserve"> </w:t>
      </w:r>
      <w:r>
        <w:t xml:space="preserve">Sage Butte — OneRock Energy’s 2023 acquisition of Northwoods Energy</w:t>
      </w:r>
      <w:fldSimple w:instr="NOTEREF _Ref_Footnote_10 \h \f">
        <w:r>
          <w:rPr>
            <w:vertAlign w:val="superscript"/>
          </w:rPr>
          <w:t>10</w:t>
        </w:r>
      </w:fldSimple>
      <w:r>
        <w:t xml:space="preserve"> </w:t>
      </w:r>
      <w:r>
        <w:t xml:space="preserve">— is likewise absent (16 wells). This is entirely legal, and that is the point: Wyoming’s disclosure mandate runs to WOGCC,</w:t>
      </w:r>
      <w:fldSimple w:instr="NOTEREF _Ref_Footnote_6 \h \f">
        <w:r>
          <w:rPr>
            <w:vertAlign w:val="superscript"/>
          </w:rPr>
          <w:t>6</w:t>
        </w:r>
      </w:fldSimple>
      <w:r>
        <w:t xml:space="preserve"> </w:t>
      </w:r>
      <w:r>
        <w:t xml:space="preserve">and there is no federal FracFocus requirement (the BLM’s 2015 rule was rescinded in 2017). FracFocus is voluntary-but-standard practice — which means their designs may sit in the state system, but in the industry-standard repository, the one your competitors actually search, they are invisible by choice or by indifference. Either way, the information asymmetry is real.</w:t>
      </w:r>
    </w:p>
    <w:p>
      <w:pPr>
        <w:pStyle w:val="BodyText"/>
      </w:pPr>
      <w:r>
        <w:t xml:space="preserve">Two takeaways. For a small operator:</w:t>
      </w:r>
      <w:r>
        <w:t xml:space="preserve"> </w:t>
      </w:r>
      <w:r>
        <w:rPr>
          <w:bCs/>
          <w:b/>
          <w:color w:val="2E2A26"/>
        </w:rPr>
        <w:t xml:space="preserve">you cannot benchmark against the county’s leader from public design data</w:t>
      </w:r>
      <w:r>
        <w:t xml:space="preserve"> </w:t>
      </w:r>
      <w:r>
        <w:t xml:space="preserve">— and benchmarking services built only on FracFocus will systematically miss the top of the performance table. This one catches it because it joins production first. And for any operator weighing its own disclosure footprint: selective visibility is already being used as a competitive tool by the company beating the majors.</w:t>
      </w:r>
    </w:p>
    <w:bookmarkEnd w:id="27"/>
    <w:bookmarkStart w:id="28" w:name="water-sourcing"/>
    <w:p>
      <w:pPr>
        <w:pStyle w:val="Heading2"/>
      </w:pPr>
      <w:r>
        <w:rPr>
          <w:spacing w:val="24"/>
        </w:rPr>
        <w:t>6 · WATER SOURCING</w:t>
      </w:r>
    </w:p>
    <w:p>
      <w:pPr>
        <w:pStyle w:val="FirstParagraph"/>
      </w:pPr>
      <w:r>
        <w:t xml:space="preserve">Among the 120 of 314 jobs reporting FF 4.0 WaterSource records:</w:t>
      </w:r>
      <w:fldSimple w:instr="NOTEREF _Ref_Footnote_4 \h \f">
        <w:r>
          <w:rPr>
            <w:vertAlign w:val="superscript"/>
          </w:rPr>
          <w:t>4</w:t>
        </w:r>
      </w:fldSimple>
    </w:p>
    <w:tbl>
      <w:tblPr>
        <w:tblStyle w:val="Table"/>
        <w:tblW w:type="auto" w:w="0"/>
        <w:tblLook w:firstRow="1" w:lastRow="0" w:firstColumn="0" w:lastColumn="0" w:noHBand="0" w:noVBand="0" w:val="0020"/>
        <w:tblBorders>
          <w:top w:val="single" w:sz="12" w:color="8B7355" w:space="0"/>
          <w:bottom w:val="single" w:sz="12" w:color="8B7355" w:space="0"/>
          <w:insideH w:val="single" w:sz="4" w:color="C4B7A6" w:space="0"/>
          <w:left w:val="none" w:sz="0" w:color="auto" w:space="0"/>
          <w:right w:val="none" w:sz="0" w:color="auto" w:space="0"/>
          <w:insideV w:val="none" w:sz="0" w:color="auto" w:space="0"/>
        </w:tblBorders>
      </w:tblPr>
      <w:tblGrid>
        <w:gridCol w:w="2640"/>
        <w:gridCol w:w="2640"/>
        <w:gridCol w:w="2640"/>
      </w:tblGrid>
      <w:tr>
        <w:trPr>
          <w:tblHeader w:val="true"/>
        </w:trPr>
        <w:tc>
          <w:tcPr>
            <w:tcBorders>
              <w:bottom w:val="single" w:sz="12" w:space="0" w:color="8B7355"/>
            </w:tcBorders>
          </w:tcPr>
          <w:p>
            <w:pPr>
              <w:pStyle w:val="Compact"/>
              <w:jc w:val="left"/>
            </w:pPr>
            <w:r>
              <w:rPr>
                <w:rFonts w:ascii="Georgia" w:hAnsi="Georgia"/>
                <w:b/>
                <w:color w:val="5C6E7F"/>
                <w:sz w:val="17"/>
                <w:spacing w:val="12"/>
              </w:rPr>
              <w:t>SOURCE</w:t>
            </w:r>
          </w:p>
        </w:tc>
        <w:tc>
          <w:tcPr>
            <w:tcBorders>
              <w:bottom w:val="single" w:sz="12" w:space="0" w:color="8B7355"/>
            </w:tcBorders>
          </w:tcPr>
          <w:p>
            <w:pPr>
              <w:pStyle w:val="Compact"/>
              <w:jc w:val="right"/>
            </w:pPr>
            <w:r>
              <w:rPr>
                <w:rFonts w:ascii="Georgia" w:hAnsi="Georgia"/>
                <w:b/>
                <w:color w:val="5C6E7F"/>
                <w:sz w:val="17"/>
                <w:spacing w:val="12"/>
              </w:rPr>
              <w:t>RECORDS</w:t>
            </w:r>
          </w:p>
        </w:tc>
        <w:tc>
          <w:tcPr>
            <w:tcBorders>
              <w:bottom w:val="single" w:sz="12" w:space="0" w:color="8B7355"/>
            </w:tcBorders>
          </w:tcPr>
          <w:p>
            <w:pPr>
              <w:pStyle w:val="Compact"/>
              <w:jc w:val="right"/>
            </w:pPr>
            <w:r>
              <w:rPr>
                <w:rFonts w:ascii="Georgia" w:hAnsi="Georgia"/>
                <w:b/>
                <w:color w:val="5C6E7F"/>
                <w:sz w:val="17"/>
                <w:spacing w:val="12"/>
              </w:rPr>
              <w:t>SHARE OF REPORTED SOURCED VOLUME</w:t>
            </w:r>
          </w:p>
        </w:tc>
      </w:tr>
      <w:tr>
        <w:tc>
          <w:tcPr>
            <w:tcBorders>
              <w:bottom w:val="single" w:sz="4" w:space="0" w:color="C4B7A6"/>
            </w:tcBorders>
          </w:tcPr>
          <w:p>
            <w:pPr>
              <w:pStyle w:val="Compact"/>
              <w:jc w:val="left"/>
            </w:pPr>
            <w:r>
              <w:rPr>
                <w:rFonts w:ascii="Georgia" w:hAnsi="Georgia"/>
                <w:color w:val="333333"/>
                <w:sz w:val="19"/>
              </w:rPr>
              <w:t xml:space="preserve">Groundwater, &lt; 1000 TDS</w:t>
            </w:r>
          </w:p>
        </w:tc>
        <w:tc>
          <w:tcPr>
            <w:tcBorders>
              <w:bottom w:val="single" w:sz="4" w:space="0" w:color="C4B7A6"/>
            </w:tcBorders>
          </w:tcPr>
          <w:p>
            <w:pPr>
              <w:pStyle w:val="Compact"/>
              <w:jc w:val="right"/>
            </w:pPr>
            <w:r>
              <w:rPr>
                <w:rFonts w:ascii="Georgia" w:hAnsi="Georgia"/>
                <w:color w:val="333333"/>
                <w:sz w:val="19"/>
              </w:rPr>
              <w:t xml:space="preserve">76</w:t>
            </w:r>
          </w:p>
        </w:tc>
        <w:tc>
          <w:tcPr>
            <w:tcBorders>
              <w:bottom w:val="single" w:sz="4" w:space="0" w:color="C4B7A6"/>
            </w:tcBorders>
          </w:tcPr>
          <w:p>
            <w:pPr>
              <w:pStyle w:val="Compact"/>
              <w:jc w:val="right"/>
            </w:pPr>
            <w:r>
              <w:rPr>
                <w:rFonts w:ascii="Georgia" w:hAnsi="Georgia"/>
                <w:color w:val="333333"/>
                <w:sz w:val="19"/>
              </w:rPr>
              <w:t xml:space="preserve">50.5%</w:t>
            </w:r>
          </w:p>
        </w:tc>
      </w:tr>
      <w:tr>
        <w:tc>
          <w:tcPr>
            <w:tcBorders>
              <w:bottom w:val="single" w:sz="4" w:space="0" w:color="C4B7A6"/>
            </w:tcBorders>
          </w:tcPr>
          <w:p>
            <w:pPr>
              <w:pStyle w:val="Compact"/>
              <w:jc w:val="left"/>
            </w:pPr>
            <w:r>
              <w:rPr>
                <w:bCs/>
                <w:rFonts w:ascii="Georgia" w:hAnsi="Georgia"/>
                <w:b/>
                <w:color w:val="2E2A26"/>
                <w:sz w:val="19"/>
              </w:rPr>
              <w:t xml:space="preserve">Produced water</w:t>
            </w:r>
          </w:p>
        </w:tc>
        <w:tc>
          <w:tcPr>
            <w:tcBorders>
              <w:bottom w:val="single" w:sz="4" w:space="0" w:color="C4B7A6"/>
            </w:tcBorders>
          </w:tcPr>
          <w:p>
            <w:pPr>
              <w:pStyle w:val="Compact"/>
              <w:jc w:val="right"/>
            </w:pPr>
            <w:r>
              <w:rPr>
                <w:rFonts w:ascii="Georgia" w:hAnsi="Georgia"/>
                <w:color w:val="333333"/>
                <w:sz w:val="19"/>
              </w:rPr>
              <w:t xml:space="preserve">49</w:t>
            </w:r>
          </w:p>
        </w:tc>
        <w:tc>
          <w:tcPr>
            <w:tcBorders>
              <w:bottom w:val="single" w:sz="4" w:space="0" w:color="C4B7A6"/>
            </w:tcBorders>
          </w:tcPr>
          <w:p>
            <w:pPr>
              <w:pStyle w:val="Compact"/>
              <w:jc w:val="right"/>
            </w:pPr>
            <w:r>
              <w:rPr>
                <w:bCs/>
                <w:rFonts w:ascii="Georgia" w:hAnsi="Georgia"/>
                <w:b/>
                <w:color w:val="2E2A26"/>
                <w:sz w:val="19"/>
              </w:rPr>
              <w:t xml:space="preserve">25.3%</w:t>
            </w:r>
          </w:p>
        </w:tc>
      </w:tr>
      <w:tr>
        <w:tc>
          <w:tcPr>
            <w:tcBorders>
              <w:bottom w:val="single" w:sz="4" w:space="0" w:color="C4B7A6"/>
            </w:tcBorders>
          </w:tcPr>
          <w:p>
            <w:pPr>
              <w:pStyle w:val="Compact"/>
              <w:jc w:val="left"/>
            </w:pPr>
            <w:r>
              <w:rPr>
                <w:rFonts w:ascii="Georgia" w:hAnsi="Georgia"/>
                <w:color w:val="333333"/>
                <w:sz w:val="19"/>
              </w:rPr>
              <w:t xml:space="preserve">Groundwater, &gt; 1000 TDS</w:t>
            </w:r>
          </w:p>
        </w:tc>
        <w:tc>
          <w:tcPr>
            <w:tcBorders>
              <w:bottom w:val="single" w:sz="4" w:space="0" w:color="C4B7A6"/>
            </w:tcBorders>
          </w:tcPr>
          <w:p>
            <w:pPr>
              <w:pStyle w:val="Compact"/>
              <w:jc w:val="right"/>
            </w:pPr>
            <w:r>
              <w:rPr>
                <w:rFonts w:ascii="Georgia" w:hAnsi="Georgia"/>
                <w:color w:val="333333"/>
                <w:sz w:val="19"/>
              </w:rPr>
              <w:t xml:space="preserve">35</w:t>
            </w:r>
          </w:p>
        </w:tc>
        <w:tc>
          <w:tcPr>
            <w:tcBorders>
              <w:bottom w:val="single" w:sz="4" w:space="0" w:color="C4B7A6"/>
            </w:tcBorders>
          </w:tcPr>
          <w:p>
            <w:pPr>
              <w:pStyle w:val="Compact"/>
              <w:jc w:val="right"/>
            </w:pPr>
            <w:r>
              <w:rPr>
                <w:rFonts w:ascii="Georgia" w:hAnsi="Georgia"/>
                <w:color w:val="333333"/>
                <w:sz w:val="19"/>
              </w:rPr>
              <w:t xml:space="preserve">17.9%</w:t>
            </w:r>
          </w:p>
        </w:tc>
      </w:tr>
      <w:tr>
        <w:tc>
          <w:tcPr>
            <w:tcBorders>
              <w:bottom w:val="single" w:sz="4" w:space="0" w:color="C4B7A6"/>
            </w:tcBorders>
          </w:tcPr>
          <w:p>
            <w:pPr>
              <w:pStyle w:val="Compact"/>
              <w:jc w:val="left"/>
            </w:pPr>
            <w:r>
              <w:rPr>
                <w:rFonts w:ascii="Georgia" w:hAnsi="Georgia"/>
                <w:color w:val="333333"/>
                <w:sz w:val="19"/>
              </w:rPr>
              <w:t xml:space="preserve">Surface water</w:t>
            </w:r>
          </w:p>
        </w:tc>
        <w:tc>
          <w:tcPr>
            <w:tcBorders>
              <w:bottom w:val="single" w:sz="4" w:space="0" w:color="C4B7A6"/>
            </w:tcBorders>
          </w:tcPr>
          <w:p>
            <w:pPr>
              <w:pStyle w:val="Compact"/>
              <w:jc w:val="right"/>
            </w:pPr>
            <w:r>
              <w:rPr>
                <w:rFonts w:ascii="Georgia" w:hAnsi="Georgia"/>
                <w:color w:val="333333"/>
                <w:sz w:val="19"/>
              </w:rPr>
              <w:t xml:space="preserve">8</w:t>
            </w:r>
          </w:p>
        </w:tc>
        <w:tc>
          <w:tcPr>
            <w:tcBorders>
              <w:bottom w:val="single" w:sz="4" w:space="0" w:color="C4B7A6"/>
            </w:tcBorders>
          </w:tcPr>
          <w:p>
            <w:pPr>
              <w:pStyle w:val="Compact"/>
              <w:jc w:val="right"/>
            </w:pPr>
            <w:r>
              <w:rPr>
                <w:rFonts w:ascii="Georgia" w:hAnsi="Georgia"/>
                <w:color w:val="333333"/>
                <w:sz w:val="19"/>
              </w:rPr>
              <w:t xml:space="preserve">6.3%</w:t>
            </w:r>
          </w:p>
        </w:tc>
      </w:tr>
    </w:tbl>
    <w:p>
      <w:pPr>
        <w:pStyle w:val="BodyText"/>
      </w:pPr>
      <w:r>
        <w:t xml:space="preserve">Produced-water reuse has moved from pilot to material — a quarter of reported sourced volume — but fresh groundwater still carries half the county’s frac demand. For a small operator, produced-water logistics are one of the few remaining levers that cut cost and disposal pressure simultaneously, and the disclosure data shows which offsets have already made it work.</w:t>
      </w:r>
    </w:p>
    <w:p>
      <w:r>
        <w:pict>
          <v:rect style="width:0;height:1.5pt" o:hralign="center" o:hrstd="t" o:hr="t"/>
        </w:pict>
      </w:r>
    </w:p>
    <w:bookmarkEnd w:id="28"/>
    <w:bookmarkStart w:id="31" w:name="what-this-means-for-your-next-pad"/>
    <w:p>
      <w:pPr>
        <w:pStyle w:val="Heading2"/>
      </w:pPr>
      <w:r>
        <w:rPr>
          <w:spacing w:val="24"/>
        </w:rPr>
        <w:t>WHAT THIS MEANS FOR YOUR NEXT PAD</w:t>
      </w:r>
    </w:p>
    <w:p>
      <w:pPr>
        <w:pStyle w:val="FirstParagraph"/>
      </w:pPr>
      <w:r>
        <w:t xml:space="preserve">Benchmarks are only worth what they change. If this were your acreage, this dataset supports four concrete moves:</w:t>
      </w:r>
    </w:p>
    <w:p>
      <w:pPr>
        <w:numPr>
          <w:ilvl w:val="0"/>
          <w:numId w:val="1006"/>
        </w:numPr>
        <w:pStyle w:val="Compact"/>
      </w:pPr>
      <w:r>
        <w:rPr>
          <w:bCs/>
          <w:b/>
          <w:color w:val="2E2A26"/>
        </w:rPr>
        <w:t xml:space="preserve">The relevant baseline is the 2025 curve, not the 2023 curve.</w:t>
      </w:r>
      <w:r>
        <w:t xml:space="preserve"> </w:t>
      </w:r>
      <w:r>
        <w:t xml:space="preserve">The county median is 24.8M gal and 38M lbs of proppant; the leaders run 55–60M+ lb jobs at ~1.6 lb/gal. In the performance-linkage sample, the designs that sit materially below their formation’s operator-matched median are the ones leaving production on the table — the data reads as capex savings that cost reserves.</w:t>
      </w:r>
    </w:p>
    <w:p>
      <w:pPr>
        <w:numPr>
          <w:ilvl w:val="0"/>
          <w:numId w:val="1006"/>
        </w:numPr>
        <w:pStyle w:val="Compact"/>
      </w:pPr>
      <w:r>
        <w:rPr>
          <w:bCs/>
          <w:b/>
          <w:color w:val="2E2A26"/>
        </w:rPr>
        <w:t xml:space="preserve">Benchmark against matched geology, not county averages.</w:t>
      </w:r>
      <w:r>
        <w:t xml:space="preserve"> </w:t>
      </w:r>
      <w:r>
        <w:t xml:space="preserve">Rockies’ 5.2M gal jobs are right-sized for 6,100-ft Turner/Parkman wells; Anschutz’s 17.5M on deep jobs is a different decision. The correct comparison set is same-bench, similar-TVD offsets — this dataset carries TVD on every job for exactly that cut.</w:t>
      </w:r>
    </w:p>
    <w:p>
      <w:pPr>
        <w:numPr>
          <w:ilvl w:val="0"/>
          <w:numId w:val="1006"/>
        </w:numPr>
        <w:pStyle w:val="Compact"/>
      </w:pPr>
      <w:r>
        <w:rPr>
          <w:bCs/>
          <w:b/>
          <w:color w:val="2E2A26"/>
        </w:rPr>
        <w:t xml:space="preserve">Insist on primary-source verification in any benchmark you buy.</w:t>
      </w:r>
      <w:r>
        <w:t xml:space="preserve"> </w:t>
      </w:r>
      <w:r>
        <w:t xml:space="preserve">Bulk extracts blank fields, aggregators leave operators unidentified, and portal records supersede snapshots. If your benchmark vendor can’t tell you how their data was validated, the numbers are decoration.</w:t>
      </w:r>
    </w:p>
    <w:p>
      <w:pPr>
        <w:numPr>
          <w:ilvl w:val="0"/>
          <w:numId w:val="1006"/>
        </w:numPr>
        <w:pStyle w:val="Compact"/>
      </w:pPr>
      <w:r>
        <w:rPr>
          <w:bCs/>
          <w:b/>
          <w:color w:val="2E2A26"/>
        </w:rPr>
        <w:t xml:space="preserve">Disclosure footprint is a strategy decision, not paperwork — and the county’s leader knows it.</w:t>
      </w:r>
      <w:r>
        <w:t xml:space="preserve"> </w:t>
      </w:r>
      <w:r>
        <w:t xml:space="preserve">Wyoming’s mandate runs to WOGCC; FracFocus is the repository competitors actually search. The dataset documents who is visible and who is not; how much detail to file beyond what the rules require is a business judgment every operator is already making, deliberately or not.</w:t>
      </w:r>
    </w:p>
    <w:p>
      <w:r>
        <w:pict>
          <v:rect style="width:0;height:1.5pt" o:hralign="center" o:hrstd="t" o:hr="t"/>
        </w:pict>
      </w:r>
    </w:p>
    <w:bookmarkStart w:id="29" w:name="about-this-sample"/>
    <w:p>
      <w:pPr>
        <w:pStyle w:val="Heading3"/>
      </w:pPr>
      <w:r>
        <w:rPr>
          <w:spacing w:val="16"/>
        </w:rPr>
        <w:t xml:space="preserve">About this sample</w:t>
      </w:r>
    </w:p>
    <w:p>
      <w:pPr>
        <w:pStyle w:val="FirstParagraph"/>
      </w:pPr>
      <w:r>
        <w:t xml:space="preserve">Every figure above is computed from public data — the FracFocus bulk extract cross-verified against the live disclosure portal, and production aggregators — joined well-by-well on API numbers, with coverage caveats stated openly rather than footnoted away.</w:t>
      </w:r>
      <w:fldSimple w:instr="NOTEREF _Ref_Footnote_1 \h \f">
        <w:r>
          <w:rPr>
            <w:vertAlign w:val="superscript"/>
          </w:rPr>
          <w:t>1</w:t>
        </w:r>
      </w:fldSimple>
      <w:r>
        <w:t xml:space="preserve"> </w:t>
      </w:r>
      <w:fldSimple w:instr="NOTEREF _Ref_Footnote_2 \h \f">
        <w:r>
          <w:rPr>
            <w:vertAlign w:val="superscript"/>
          </w:rPr>
          <w:t>2</w:t>
        </w:r>
      </w:fldSimple>
      <w:r>
        <w:t xml:space="preserve"> </w:t>
      </w:r>
      <w:fldSimple w:instr="NOTEREF _Ref_Footnote_3 \h \f">
        <w:r>
          <w:rPr>
            <w:vertAlign w:val="superscript"/>
          </w:rPr>
          <w:t>3</w:t>
        </w:r>
      </w:fldSimple>
      <w:r>
        <w:t xml:space="preserve"> </w:t>
      </w:r>
      <w:fldSimple w:instr="NOTEREF _Ref_Footnote_4 \h \f">
        <w:r>
          <w:rPr>
            <w:vertAlign w:val="superscript"/>
          </w:rPr>
          <w:t>4</w:t>
        </w:r>
      </w:fldSimple>
      <w:r>
        <w:t xml:space="preserve"> </w:t>
      </w:r>
      <w:fldSimple w:instr="NOTEREF _Ref_Footnote_5 \h \f">
        <w:r>
          <w:rPr>
            <w:vertAlign w:val="superscript"/>
          </w:rPr>
          <w:t>5</w:t>
        </w:r>
      </w:fldSimple>
      <w:r>
        <w:t xml:space="preserve"> </w:t>
      </w:r>
      <w:r>
        <w:t xml:space="preserve">The companion workbook (</w:t>
      </w:r>
      <w:r>
        <w:rPr>
          <w:iCs/>
          <w:i/>
        </w:rPr>
        <w:t xml:space="preserve">PRB_Converse_Benchmark_Dataset_v2.xlsx</w:t>
      </w:r>
      <w:r>
        <w:t xml:space="preserve">) contains the full well population, all disclosure headers, pad-level monthly production, and every intermediate table, so nothing in this report requires trusting us — you can audit every number to its source row.</w:t>
      </w:r>
    </w:p>
    <w:p>
      <w:pPr>
        <w:pStyle w:val="BodyText"/>
      </w:pPr>
      <w:r>
        <w:t xml:space="preserve">A client engagement goes further: your acreage and formation, WOGCC well-level production pulled directly, lateral-length normalization (lbs/ft and gal/ft by bench) from WOGCC directional surveys, service-company estimates where public data thins, stage-level detail from permits and directional data, and a written data memo your team can defend in an AFE review.</w:t>
      </w:r>
    </w:p>
    <w:p>
      <w:pPr>
        <w:pStyle w:val="BodyText"/>
      </w:pPr>
      <w:r>
        <w:rPr>
          <w:bCs/>
          <w:b/>
          <w:color w:val="2E2A26"/>
        </w:rPr>
        <w:t xml:space="preserve">River &amp; Rocks LLC · Luke Trivisonno · luke@riverandrocks.com</w:t>
      </w:r>
    </w:p>
    <w:p>
      <w:pPr>
        <w:pStyle w:val="BodyText"/>
      </w:pPr>
      <w:r>
        <w:rPr>
          <w:iCs/>
          <w:i/>
        </w:rPr>
        <w:t xml:space="preserve">Independent completions benchmarking for Powder River Basin operators. 15 years upstream. Not affiliated with any service company — the analysis grades the design, not the vendor.</w:t>
      </w:r>
    </w:p>
    <w:p>
      <w:pPr>
        <w:pStyle w:val="BodyText"/>
      </w:pPr>
      <w:r>
        <w:rPr>
          <w:iCs/>
          <w:i/>
        </w:rPr>
        <w:t xml:space="preserve">This report presents verified public data and statistical comparisons. It is not a professional engineering design document and does not constitute engineering services.</w:t>
      </w:r>
    </w:p>
    <w:p>
      <w:r>
        <w:pict>
          <v:rect style="width:0;height:1.5pt" o:hralign="center" o:hrstd="t" o:hr="t"/>
        </w:pict>
      </w:r>
    </w:p>
    <w:bookmarkEnd w:id="29"/>
    <w:bookmarkStart w:id="30" w:name="sources"/>
    <w:p>
      <w:pPr>
        <w:pStyle w:val="Heading3"/>
      </w:pPr>
      <w:r>
        <w:rPr>
          <w:spacing w:val="16"/>
        </w:rPr>
        <w:t xml:space="preserve">Sources</w:t>
      </w:r>
    </w:p>
    <w:p>
      <w:pPr>
        <w:numPr>
          <w:ilvl w:val="0"/>
          <w:numId w:val="1007"/>
        </w:numPr>
        <w:pStyle w:val="Compact"/>
      </w:pPr>
      <w:r>
        <w:t xml:space="preserve">Buckhead Energy — newly-producing well snapshots &amp; operator activity, Powder River Basin: https://www.buckheadenergy.com/top-operators-powder-river-basin</w:t>
      </w:r>
    </w:p>
    <w:p>
      <w:pPr>
        <w:numPr>
          <w:ilvl w:val="0"/>
          <w:numId w:val="1007"/>
        </w:numPr>
        <w:pStyle w:val="Compact"/>
      </w:pPr>
      <w:r>
        <w:t xml:space="preserve">ShaleXP — Converse County WY production &amp; well data: https://www.shalexp.com/wyoming/converse-county</w:t>
      </w:r>
    </w:p>
    <w:p>
      <w:pPr>
        <w:numPr>
          <w:ilvl w:val="0"/>
          <w:numId w:val="1007"/>
        </w:numPr>
        <w:pStyle w:val="Compact"/>
      </w:pPr>
      <w:r>
        <w:t xml:space="preserve">DrillingEdge — Converse County WY well records: https://www.drillingedge.com/wyoming/converse-county</w:t>
      </w:r>
    </w:p>
    <w:p>
      <w:pPr>
        <w:numPr>
          <w:ilvl w:val="0"/>
          <w:numId w:val="1007"/>
        </w:numPr>
        <w:pStyle w:val="Compact"/>
      </w:pPr>
      <w:r>
        <w:t xml:space="preserve">FracFocus — bulk data extract (DisclosureList, Registry, WaterSource), Converse County WY 2023–2026: https://fracfocus.org/data-download</w:t>
      </w:r>
    </w:p>
    <w:p>
      <w:pPr>
        <w:numPr>
          <w:ilvl w:val="0"/>
          <w:numId w:val="1007"/>
        </w:numPr>
        <w:pStyle w:val="Compact"/>
      </w:pPr>
      <w:r>
        <w:t xml:space="preserve">FracFocus live disclosure portal — per-well disclosure records, cross-verified August 2026: https://www.fracfocusdata.org/</w:t>
      </w:r>
    </w:p>
    <w:p>
      <w:pPr>
        <w:numPr>
          <w:ilvl w:val="0"/>
          <w:numId w:val="1007"/>
        </w:numPr>
        <w:pStyle w:val="Compact"/>
      </w:pPr>
      <w:r>
        <w:t xml:space="preserve">WOGCC Oil &amp; Gas Conservation Commission Rules, Ch. 3 — well-by-well monthly production reporting (§13); disclosure within 30 days of completion (§45): https://www.jostenergylaw.com/wp-content/uploads/2020/08/CH-1-CH-3-Proposed-strike-underscore-2020-0715.pdf</w:t>
      </w:r>
    </w:p>
    <w:p>
      <w:pPr>
        <w:numPr>
          <w:ilvl w:val="0"/>
          <w:numId w:val="1007"/>
        </w:numPr>
        <w:pStyle w:val="Compact"/>
      </w:pPr>
      <w:r>
        <w:t xml:space="preserve">NGP Energy Capital — natural resources portfolio (WRC Energy): https://ngpenergy.com/portfolio-natural-resources/</w:t>
      </w:r>
    </w:p>
    <w:p>
      <w:pPr>
        <w:numPr>
          <w:ilvl w:val="0"/>
          <w:numId w:val="1007"/>
        </w:numPr>
        <w:pStyle w:val="Compact"/>
      </w:pPr>
      <w:r>
        <w:t xml:space="preserve">Business Wire — OneRock Energy completes acquisition of Northwoods Energy (Aug 2023): https://www.businesswire.com/news/home/20230821395386/en/OneRock-Energy-Completes-Acquisition-of-Northwoods-Energy-in-Powder-River-Basin</w:t>
      </w:r>
    </w:p>
    <w:p>
      <w:pPr>
        <w:numPr>
          <w:ilvl w:val="0"/>
          <w:numId w:val="1007"/>
        </w:numPr>
        <w:pStyle w:val="Compact"/>
      </w:pPr>
      <w:r>
        <w:t xml:space="preserve">Deutsche Rohstoff AG (EQS) — 1876 Resources and Bright Rock combine Wyoming acreage (end-2024): https://www.eqs-news.com/news/corporate/deutsche-rohstoff-ag-deutsche-rohstoff-subsidiaries-combine-wyoming-acreage-position/44eb1614-ef05-4929-8578-cd09246476b7</w:t>
      </w:r>
    </w:p>
    <w:p>
      <w:pPr>
        <w:numPr>
          <w:ilvl w:val="0"/>
          <w:numId w:val="1007"/>
        </w:numPr>
        <w:pStyle w:val="Compact"/>
      </w:pPr>
      <w:r>
        <w:t xml:space="preserve">Devon Energy IR — Devon and WPX complete merger of equals (Jan 2021): https://investors.devonenergy.com/investors/press-releases/press-release-details/2021/Devon-Energy-and-WPX-Energy-Complete-Merger-of-Equals/default.aspx</w:t>
      </w:r>
    </w:p>
    <w:p>
      <w:pPr>
        <w:pStyle w:val="FirstParagraph"/>
      </w:pPr>
      <w:r>
        <w:rPr>
          <w:iCs/>
          <w:i/>
        </w:rPr>
        <w:t xml:space="preserve">Dataset built from the live FracFocus disclosure portal, cross-verified against bulk extracts; official per-well disclosure PDFs spot-checked (three wells, all matched to the pound). Production figures are operator-reported, via third-party aggregators. August 2026. Independent data-integrity and external-fact verification reports available 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r="http://schemas.openxmlformats.org/officeDocument/2006/relationships">
  <w:footnote w:type="separator" w:id="-1">
    <w:p>
      <w:r>
        <w:separator/>
      </w:r>
    </w:p>
  </w:footnote>
  <w:footnote w:type="continuationSeparator" w:id="0">
    <w:p>
      <w:r>
        <w:continuationSeparator/>
      </w:r>
    </w:p>
  </w:footnote>
  <w:footnote w:id="1">
    <w:p>
      <w:pPr>
        <w:pStyle w:val="FootnoteText"/>
        <w:spacing w:before="0" w:after="0" w:line="200" w:lineRule="exact"/>
      </w:pPr>
      <w:bookmarkStart w:id="10001" w:name="_Ref_Footnote_1"/>
      <w:r>
        <w:rPr>
          <w:rStyle w:val="FootnoteReference"/>
          <w:vertAlign w:val="superscript"/>
        </w:rPr>
        <w:footnoteRef/>
      </w:r>
      <w:r>
        <w:rPr>
          <w:sz w:val="18"/>
          <w:szCs w:val="18"/>
        </w:rPr>
        <w:t xml:space="preserve"> Buckhead Energy — newly-producing well snapshots &amp; operator activity, Powder River Basin. https://www.buckheadenergy.com/top-operators-powder-river-basin</w:t>
      </w:r>
      <w:bookmarkEnd w:id="10001"/>
    </w:p>
  </w:footnote>
  <w:footnote w:id="2">
    <w:p>
      <w:pPr>
        <w:pStyle w:val="FootnoteText"/>
        <w:spacing w:before="0" w:after="0" w:line="200" w:lineRule="exact"/>
      </w:pPr>
      <w:bookmarkStart w:id="10002" w:name="_Ref_Footnote_2"/>
      <w:r>
        <w:rPr>
          <w:rStyle w:val="FootnoteReference"/>
          <w:vertAlign w:val="superscript"/>
        </w:rPr>
        <w:footnoteRef/>
      </w:r>
      <w:r>
        <w:rPr>
          <w:sz w:val="18"/>
          <w:szCs w:val="18"/>
        </w:rPr>
        <w:t xml:space="preserve"> ShaleXP — Converse County WY production &amp; well data. https://www.shalexp.com/wyoming/converse-county</w:t>
      </w:r>
      <w:bookmarkEnd w:id="10002"/>
    </w:p>
  </w:footnote>
  <w:footnote w:id="3">
    <w:p>
      <w:pPr>
        <w:pStyle w:val="FootnoteText"/>
        <w:spacing w:before="0" w:after="0" w:line="200" w:lineRule="exact"/>
      </w:pPr>
      <w:bookmarkStart w:id="10003" w:name="_Ref_Footnote_3"/>
      <w:r>
        <w:rPr>
          <w:rStyle w:val="FootnoteReference"/>
          <w:vertAlign w:val="superscript"/>
        </w:rPr>
        <w:footnoteRef/>
      </w:r>
      <w:r>
        <w:rPr>
          <w:sz w:val="18"/>
          <w:szCs w:val="18"/>
        </w:rPr>
        <w:t xml:space="preserve"> DrillingEdge — Converse County WY well records. https://www.drillingedge.com/wyoming/converse-county</w:t>
      </w:r>
      <w:bookmarkEnd w:id="10003"/>
    </w:p>
  </w:footnote>
  <w:footnote w:id="4">
    <w:p>
      <w:pPr>
        <w:pStyle w:val="FootnoteText"/>
        <w:spacing w:before="0" w:after="0" w:line="200" w:lineRule="exact"/>
      </w:pPr>
      <w:bookmarkStart w:id="10004" w:name="_Ref_Footnote_4"/>
      <w:r>
        <w:rPr>
          <w:rStyle w:val="FootnoteReference"/>
          <w:vertAlign w:val="superscript"/>
        </w:rPr>
        <w:footnoteRef/>
      </w:r>
      <w:r>
        <w:rPr>
          <w:sz w:val="18"/>
          <w:szCs w:val="18"/>
        </w:rPr>
        <w:t xml:space="preserve"> FracFocus — bulk data extract (DisclosureList, Registry, WaterSource), Converse County WY 2023–2026. https://fracfocus.org/data-download</w:t>
      </w:r>
      <w:bookmarkEnd w:id="10004"/>
    </w:p>
  </w:footnote>
  <w:footnote w:id="5">
    <w:p>
      <w:pPr>
        <w:pStyle w:val="FootnoteText"/>
        <w:spacing w:before="0" w:after="0" w:line="200" w:lineRule="exact"/>
      </w:pPr>
      <w:bookmarkStart w:id="10005" w:name="_Ref_Footnote_5"/>
      <w:r>
        <w:rPr>
          <w:rStyle w:val="FootnoteReference"/>
          <w:vertAlign w:val="superscript"/>
        </w:rPr>
        <w:footnoteRef/>
      </w:r>
      <w:r>
        <w:rPr>
          <w:sz w:val="18"/>
          <w:szCs w:val="18"/>
        </w:rPr>
        <w:t xml:space="preserve"> FracFocus live disclosure portal — per-well disclosure records cross-verified August 2026. https://www.fracfocusdata.org/</w:t>
      </w:r>
      <w:bookmarkEnd w:id="10005"/>
    </w:p>
  </w:footnote>
  <w:footnote w:id="6">
    <w:p>
      <w:pPr>
        <w:pStyle w:val="FootnoteText"/>
        <w:spacing w:before="0" w:after="0" w:line="200" w:lineRule="exact"/>
      </w:pPr>
      <w:bookmarkStart w:id="10006" w:name="_Ref_Footnote_6"/>
      <w:r>
        <w:rPr>
          <w:rStyle w:val="FootnoteReference"/>
          <w:vertAlign w:val="superscript"/>
        </w:rPr>
        <w:footnoteRef/>
      </w:r>
      <w:r>
        <w:rPr>
          <w:sz w:val="18"/>
          <w:szCs w:val="18"/>
        </w:rPr>
        <w:t xml:space="preserve"> WOGCC Oil &amp; Gas Conservation Commission Rules, Ch. 3 — monthly well-by-well production reporting (§13); disclosure within 30 days of completion (§45). https://www.jostenergylaw.com/wp-content/uploads/2020/08/CH-1-CH-3-Proposed-strike-underscore-2020-0715.pdf</w:t>
      </w:r>
      <w:bookmarkEnd w:id="10006"/>
    </w:p>
  </w:footnote>
  <w:footnote w:id="7">
    <w:p>
      <w:pPr>
        <w:pStyle w:val="FootnoteText"/>
        <w:spacing w:before="0" w:after="0" w:line="200" w:lineRule="exact"/>
      </w:pPr>
      <w:bookmarkStart w:id="10007" w:name="_Ref_Footnote_7"/>
      <w:r>
        <w:rPr>
          <w:rStyle w:val="FootnoteReference"/>
          <w:vertAlign w:val="superscript"/>
        </w:rPr>
        <w:footnoteRef/>
      </w:r>
      <w:r>
        <w:rPr>
          <w:sz w:val="18"/>
          <w:szCs w:val="18"/>
        </w:rPr>
        <w:t xml:space="preserve"> Devon Energy IR — Devon and WPX complete merger of equals (Jan 2021). https://investors.devonenergy.com/investors/press-releases/press-release-details/2021/Devon-Energy-and-WPX-Energy-Complete-Merger-of-Equals/default.aspx</w:t>
      </w:r>
      <w:bookmarkEnd w:id="10007"/>
    </w:p>
  </w:footnote>
  <w:footnote w:id="8">
    <w:p>
      <w:pPr>
        <w:pStyle w:val="FootnoteText"/>
        <w:spacing w:before="0" w:after="0" w:line="200" w:lineRule="exact"/>
      </w:pPr>
      <w:bookmarkStart w:id="10008" w:name="_Ref_Footnote_8"/>
      <w:r>
        <w:rPr>
          <w:rStyle w:val="FootnoteReference"/>
          <w:vertAlign w:val="superscript"/>
        </w:rPr>
        <w:footnoteRef/>
      </w:r>
      <w:r>
        <w:rPr>
          <w:sz w:val="18"/>
          <w:szCs w:val="18"/>
        </w:rPr>
        <w:t xml:space="preserve"> NGP Energy Capital — natural resources portfolio (WRC Energy, formed from Wold Energy/Rebellion Energy II/Camino Natural Resources). https://ngpenergy.com/portfolio-natural-resources/</w:t>
      </w:r>
      <w:bookmarkEnd w:id="10008"/>
    </w:p>
  </w:footnote>
  <w:footnote w:id="9">
    <w:p>
      <w:pPr>
        <w:pStyle w:val="FootnoteText"/>
        <w:spacing w:before="0" w:after="0" w:line="200" w:lineRule="exact"/>
      </w:pPr>
      <w:bookmarkStart w:id="10009" w:name="_Ref_Footnote_9"/>
      <w:r>
        <w:rPr>
          <w:rStyle w:val="FootnoteReference"/>
          <w:vertAlign w:val="superscript"/>
        </w:rPr>
        <w:footnoteRef/>
      </w:r>
      <w:r>
        <w:rPr>
          <w:sz w:val="18"/>
          <w:szCs w:val="18"/>
        </w:rPr>
        <w:t xml:space="preserve"> Deutsche Rohstoff AG (EQS) — subsidiaries 1876 Resources and Bright Rock combine Wyoming acreage position (end-2024). https://www.eqs-news.com/news/corporate/deutsche-rohstoff-ag-deutsche-rohstoff-subsidiaries-combine-wyoming-acreage-position/44eb1614-ef05-4929-8578-cd09246476b7</w:t>
      </w:r>
      <w:bookmarkEnd w:id="10009"/>
    </w:p>
  </w:footnote>
  <w:footnote w:id="10">
    <w:p>
      <w:pPr>
        <w:pStyle w:val="FootnoteText"/>
        <w:spacing w:before="0" w:after="0" w:line="200" w:lineRule="exact"/>
      </w:pPr>
      <w:bookmarkStart w:id="10010" w:name="_Ref_Footnote_10"/>
      <w:r>
        <w:rPr>
          <w:rStyle w:val="FootnoteReference"/>
          <w:vertAlign w:val="superscript"/>
        </w:rPr>
        <w:footnoteRef/>
      </w:r>
      <w:r>
        <w:rPr>
          <w:sz w:val="18"/>
          <w:szCs w:val="18"/>
        </w:rPr>
        <w:t xml:space="preserve"> Business Wire — OneRock Energy completes acquisition of Northwoods Energy, Powder River Basin (Aug 2023; renamed Sage Butte). https://www.businesswire.com/news/home/20230821395386/en/OneRock-Energy-Completes-Acquisition-of-Northwoods-Energy-in-Powder-River-Basin</w:t>
      </w:r>
      <w:bookmarkEnd w:id="10010"/>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line="307" w:lineRule="auto"/>
    </w:pPr>
    <w:rPr>
      <w:rFonts w:ascii="Georgia" w:hAnsi="Georgia"/>
      <w:color w:val="333333"/>
      <w:sz w:val="19"/>
    </w:rPr>
  </w:style>
  <w:style w:styleId="BodyText" w:type="paragraph">
    <w:name w:val="Body Text"/>
    <w:basedOn w:val="Normal"/>
    <w:link w:val="BodyTextChar"/>
    <w:pPr>
      <w:spacing w:after="180" w:before="180" w:line="307" w:lineRule="auto"/>
    </w:pPr>
    <w:qFormat/>
    <w:rPr>
      <w:rFonts w:ascii="Georgia" w:hAnsi="Georgia"/>
      <w:color w:val="333333"/>
      <w:sz w:val="19"/>
    </w:rPr>
  </w:style>
  <w:style w:customStyle="1" w:styleId="FirstParagraph" w:type="paragraph">
    <w:name w:val="First Paragraph"/>
    <w:basedOn w:val="BodyText"/>
    <w:next w:val="BodyText"/>
    <w:qFormat/>
    <w:pPr>
      <w:spacing w:line="307" w:lineRule="auto"/>
    </w:pPr>
    <w:rPr>
      <w:rFonts w:ascii="Georgia" w:hAnsi="Georgia"/>
      <w:color w:val="333333"/>
      <w:sz w:val="19"/>
    </w:rPr>
  </w:style>
  <w:style w:customStyle="1" w:styleId="Compact" w:type="paragraph">
    <w:name w:val="Compact"/>
    <w:basedOn w:val="BodyText"/>
    <w:qFormat/>
    <w:pPr>
      <w:spacing w:after="36" w:before="36" w:line="307" w:lineRule="auto"/>
    </w:pPr>
    <w:rPr>
      <w:rFonts w:ascii="Georgia" w:hAnsi="Georgia"/>
      <w:color w:val="333333"/>
      <w:sz w:val="19"/>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ascii="Georgia" w:hAnsi="Georgia"/>
      <w:b/>
      <w:bCs/>
      <w:color w:val="2E2A26"/>
      <w:sz w:val="38"/>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ascii="Georgia" w:hAnsi="Georgia"/>
      <w:b/>
      <w:bCs/>
      <w:color w:val="8B7355"/>
      <w:sz w:val="22"/>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ascii="Georgia" w:hAnsi="Georgia"/>
      <w:b/>
      <w:bCs/>
      <w:color w:val="5C6E7F"/>
      <w:sz w:val="20"/>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pPr>
      <w:spacing w:before="0" w:after="0" w:line="200" w:lineRule="exact"/>
    </w:pPr>
    <w:rPr>
      <w:sz w:val="18"/>
      <w:szCs w:val="18"/>
    </w:r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2026-08-02T21:40:28Z</dcterms:created>
  <dcterms:modified xsi:type="dcterms:W3CDTF">2026-08-02T21:40:28Z</dcterms:modified>
</cp:coreProperties>
</file>

<file path=docProps/custom.xml><?xml version="1.0" encoding="utf-8"?>
<Properties xmlns="http://schemas.openxmlformats.org/officeDocument/2006/custom-properties" xmlns:vt="http://schemas.openxmlformats.org/officeDocument/2006/docPropsVTypes"/>
</file>